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449 vom 27. Juli 2011</w:t>
      </w:r>
    </w:p>
    <w:p>
      <w:r>
        <w:t>VD Tribunal cantonal, 2011-07-27, FR</w:t>
      </w:r>
    </w:p>
    <w:p>
      <w:r>
        <w:rPr>
          <w:b/>
        </w:rPr>
        <w:t xml:space="preserve">Quelle: </w:t>
      </w:r>
      <w:r>
        <w:t>https://mcp.opencaselaw.ch/entscheid/vd_findinfo_HC___2011___449</w:t>
      </w:r>
    </w:p>
    <w:p>
      <w:r>
        <w:t>FR: VD_FINDINFO HC / 2011 / 449 du 27 juillet 2011</w:t>
      </w:r>
    </w:p>
    <w:p>
      <w:r>
        <w:t>IT: VD_FINDINFO HC / 2011 / 449 del 27 luglio 2011</w:t>
      </w:r>
    </w:p>
    <w:p>
      <w:pPr>
        <w:pStyle w:val="Heading2"/>
      </w:pPr>
      <w:r>
        <w:t>Regeste</w:t>
      </w:r>
    </w:p>
    <w:p>
      <w:r>
        <w:t>PRINCIPE DE LA CONFIANCE{INTERPRÉTATION DU CONTRAT}, PRÊT À USAGE, BAIL À LOYER | 253a al. 1 CO, 269d al. 3 CO, 310 CO, 308 al. 1 let. b CPC (CH), 317 al. 1 CPC (CH)</w:t>
      </w:r>
    </w:p>
    <w:p>
      <w:pPr>
        <w:pStyle w:val="Heading2"/>
      </w:pPr>
      <w:r>
        <w:t>Erwägungen</w:t>
      </w:r>
    </w:p>
    <w:p>
      <w:r>
        <w:rPr>
          <w:b/>
        </w:rPr>
        <w:t>E. 1</w:t>
      </w:r>
    </w:p>
    <w:p>
      <w:r>
        <w:t>L'ordonnance attaquée a été rendue le 17 mars 2011, de sorte que les voies de droit sont régies par le Code de procédure civile suisse du 19 décembre 2008 (ci-après : CPC ; RS 272), entré en vigueur le 1 er janvier 2011 (art. 405 al. 1 CPC).</w:t>
      </w:r>
    </w:p>
    <w:p>
      <w:r>
        <w:rPr>
          <w:b/>
        </w:rPr>
        <w:t>E. 2</w:t>
      </w:r>
    </w:p>
    <w:p>
      <w:r>
        <w:t>a) L'appel est recevable contre les décisions de première instance sur les mesures provisionnelles (art. 308 al. 1 let. b CPC), dans les causes non patrimoniales ou dont la valeur litigieuse est, comme en l'espèce, supérieure à 10'000 fr. (art. 308 al. 2 CPC). b)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des parties qui y ont intérêt, l'appel est formellement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 ;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(Tappy, op. cit., pp. 136-137). En l'espèce, les appelants ont produit un lot de photos prises après l'audience de jugement. Rien ne les empêchait pourtant de produire à cette audience des photos similaires. Ils n'ont, en particulier, pas allégué que les véhicules n'auraient été stationnés devant le garage de l'intimé qu'à la suite de cette audience. Partant, les pièces nouvelles sont irrecevables.</w:t>
      </w:r>
    </w:p>
    <w:p>
      <w:r>
        <w:rPr>
          <w:b/>
        </w:rPr>
        <w:t>E. 4</w:t>
      </w:r>
    </w:p>
    <w:p>
      <w:r>
        <w:t>On peut confirmer par adoption de motifs les considérations du premier juge quant au degré de la preuve requise en l'espèce (ordonnance entreprise pp. 4-5). Il suffit que les appelants rendent vraisemblable leur droit à l'utilisation des places de stationnement litigieuses.</w:t>
      </w:r>
    </w:p>
    <w:p>
      <w:r>
        <w:rPr>
          <w:b/>
        </w:rPr>
        <w:t>E. 5</w:t>
      </w:r>
    </w:p>
    <w:p>
      <w:r>
        <w:t>Les appelants font valoir que la mise à disposition des places de parc fait partie intégrante du bail (appel, p. 5) et que la suppression de cette faculté constitue une prétention nouvelle qui est nulle faute d'avoir été notifiée sur formule officielle (appel, p. 6). a) Le bail contient sous la rubrique "locaux ou dépendances mis à disposition à titre gratuit et à bien plaire" la mention "Places de parc extérieures dans la cour". Le ch. 6.9. du contrat de bail prévoit que le locataire, ayant la jouissance exclusive du jardin, s'engage à ses frais à entretenir la tondeuse à gazon, à entretenir et maintenir le jardin et son contenu en bon état conformément à l'usage courant, le locataire étant autorisé à enlever ou remplacer le contenu du jardin après en avoir avisé le bailleur. En vertu du ch. 6.10, le locataire a la jouissance exclusive de l'allée accédant au jardin. Enfin, le bail se réfère aux Dispositions paritaires romandes, aux RULV, ainsi qu'aux dispositions générales pour habitation, garage et place de parc (novembre 1998), qui en font partie intégrante (ch. 7 et 8). La volonté réelle des parties sur la portée de la clause litigieuse portant sur la mise à disposition à titre gratuit et à bien plaire des places de parc n'a pas été établie. C'est en vain que les appelants font valoir qu'ils n'auraient jamais contracté si les places n'avaient pas fait partie intégrante du bail. La clause doit donc être interprétée selon le principe de la confiance, déduit de celui de la bonne foi (art. 2 al. 1 CC [Code civil suisse du 10 décembre 1907, RS 210]).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La clause litigieuse stipule clairement que la mise à disposition des places de parc intervient à titre gratuit et à bien plaire. On ne voit pas de circonstances ayant précédé ou accompagné la conclusion du bail en cause permettant aux appelants de considérer de bonne foi que, contrairement au texte du contrat, les places de parc étaient incluses dans l'objet du bail. Au contraire, le contrat contient une clause expresse lorsque l'usage de certains espaces est compris dans le bail, ainsi le jardin (ch. 6.9) et l'allée accédant au jardin (ch. 6.10). Dès lors que tel n'est pas le cas des places de parc, pour lesquelles il était au contraire prévu qu'elles étaient mises à disposition à titre gratuit et à bien plaire, celles-ci ne sauraient être comprises dans le bail. On peut également relever que la notion de mise à disposition gratuite et à bien plaire est bien connue en matière de bail, puisque l'art. 5 des Dispositions générales pour habitation, garage et place de parc - certes inapplicable en l'espèce, dès lors que le bail se réfère aux RULV dans leur édition de novembre 1998 - prévoit pour les objets où une utilisation à bien plaire a été accordée, une révocation sans indication de motif, moyennant un préavis de trente jours, notifiée par lettre recommandée. b) On peut encore se demander si les appelants pourraient fonder leurs conclusions sur l'art. 253a CO (Code des obligations du 30 mars 1911, RS 220). Aux termes de l'art. 253a al. 1 CO, les dispositions concernant les baux d'habitation et de locaux commerciaux s'appliquent aussi aux choses dont l'usage est cédé avec ces habitations ou locaux commerciaux. L'art. 1 OBLF (ordonnance du 9 mai 1990 sur le bail à loyer et le bail à ferme d’habitations et de locaux commerciaux, RS 221.213.11) précise que ces choses comprennent les biens mobiliers, garages, places de stationnement extérieures ou souterraines ainsi que les jardins.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(ATF 125 III 231 c. 2a, JT 2000 I 194). Le Message relève qu'est déterminant pour l'application de cette disposition "le fait que les choses accessoires soient louées par le bailleur au même locataire et que leur usage soit en rapport avec l'usage de la chose principale" (Feuille Fédérale [FF] 1985 I 402). La doctrine mentionne que "le critère déterminant pour que l'accessoire suive le sort du principal est celui de l'interdépendance entre les locaux du fait de leur nature et de leur usage. Le locataire n'a loué les dépendances que parce qu'il avait loué ou voulait louer le logement ou le local commercial" (Lachat, Le bail à loyer, 2 ème éd., 2008, p. 126 ; SVIT, Das schweizerisches Mietrecht, 3 ème éd., 2008 n. 11 ad art. 253a CO, p. 38 ; Weber, Basler Kommentar, 4 ème éd., 2007, n. 15 ad art. 253a/253b CO p. 1352, qui parlent de "mitvermietete Objekte"). Il ressort de ces considérations que l'accessoire doit être loué pour justifier l'application de l'art. 253a CO et que cette disposition ne s'applique pas aux objets laissés à bien plaire à la disposition du locataire (CREC I 13 mai 2009/207). L'ATF 125 III 231 susmentionné traite d'ailleurs de places de parc cédées à titre onéreux. Au vu de ce qui précède il y a lieu d'admettre que les dispositions concernant les baux d'habitation et de locaux commerciaux ne s'appliquent pas aux places de parc litigieuses dès lors qu'elles ont été laissées à bien plaire et gratuitement à la disposition des appelants. c) Au demeurant, l'application de l'art. 269d al. 3 CO, qui prescrit notamment l'usage d'une formule officielle, suppose que la modification unilatérale puisse fausser le rapport d'échange entre les prestations réciproques des parties au contrat et a pour conséquence l'examen, par les autorités saisies d'une contestation, de l'éventuel caractère abusif du loyer de l'objet restant ou de la résiliation du bail tel qu'il existait jusqu'à la modification unilatérale, avec le cas échéant prolongation dudit bail (ATF 125 III 231 précité c. 3b). Or, dès lors que les places de stationnement litigieuses ont été mises à disposition gratuitement et à bien plaire, elles ne sont pas comprises dans l'échange de prestations entre les parties au contrat et la révocation de cette mise à disposition n'est pas de nature à fausser le rapport d'échange entre ces prestations, ce qui exclut également l'application de cette disposition (CREC I 13 mai 2009/207). d) Les appelants soutiennent encore (appel, p. 5) que le prêt à usage se définit comme un contrat par lequel le prêteur s'oblige à céder gratuitement l'usage d'une chose que l'emprunteur s'engage à lui rendre après s'en être servi et qu'il ne saurait y avoir de restitution possible puisque les places de parc se situent sur l'allée d'accès au jardin dont les locataires ont l'usage exclusif et que le bailleur ne pourrait les utiliser lui-même. Le moyen est infondé. D'une part, nonobstant le terme apparemment restrictif de "chose", le prêt à usage peut avoir pour objet non seulement des biens mobiliers ou immobiliers, mais également certains droits susceptibles de faire l'objet d'un usage (Bovet, Commentaire romand, Code des obligations I, n. 6 ad art. 305 CO). L'usage de places de parc peut ainsi faire l'objet d'un tel prêt. D'autre part, il importe peu que le prêteur, ne puisse, en vertu d'autres clauses juridiques, ne pas pouvoir faire un usage immédiat du bien ou du droit restitué. e) Les appelants font enfin valoir (appel, p. 5) que, même s'il s'agissait d'un prêt à usage, les formes et délais du droit de bail devraient être respectés. Lachat, dont se prévalent les appelants, ne propose cependant l'application du droit du bail par analogie qu'en ce qui concerne les délais et n'exige pas le respect de la formule officielle (Lachat, Le bail à loyer, Lausanne 2008, p. 87). Une telle exigence serait dans tous les cas infondée pour les raisons exposées sous let. c ci-dessus. De toute manière, selon l'art. 310 CO, si le prêt a été fait pour un usage dont le but ni la durée ne sont déterminés, le prêteur est libre de réclamer la chose quand bon lui semble. Le délai pour l'exécution de cette obligation doit être fixé conformément aux règles de la bonne foi et prendre en compte l'ensemble des circonstances (Bovet, op. cit., n. 1 ad art. 310 CO), une partie de la doctrine proposant un délai de 10 jours dans les cas ordinaires (Schärer/Maurenbacher, Basler Kommentar, 4 ème éd., n. 2 ad art. 310 CO). Le délai de 15 jours fixé en l'espèce par l'intimé apparaît adéquat, étant par ailleurs rappelé que l'art. 5 des Dispositions générales pour habitation, garage et place de parc est inapplicable en l'espèce. f) Quant au fait que les appelants ont utilisé l'allée pour y garer leur véhicule au vu et au su de deux propriétaires successifs (appel, p. 6), il est sans pertinence, dès lors qu'ils étaient en droit de le faire en vertu de la clause qui leur avait accordé cet usage à bien plaire et à titre gratuit. L'appel est dès lors infondé sur ce point, les appelants n'ayant pas rendu vraisemblable que l'intimé aurait été tenu de faire usage de la formule officielle pour résilier le droit d'usage des places de parc litigieuses.</w:t>
      </w:r>
    </w:p>
    <w:p>
      <w:r>
        <w:rPr>
          <w:b/>
        </w:rPr>
        <w:t>E. 6</w:t>
      </w:r>
    </w:p>
    <w:p>
      <w:r>
        <w:t>Les appelants font valoir qu'interdiction doit être faite à l'intimé, à ses proches et aux maîtres d'état mandatés par lui, de stationner leurs véhicules devant l'entrée de la cour (appel, pp. 6-7). Dès lors que les appelants n'ont pas rendu vraisemblable leur droit d'utiliser les places de stationnement litigieuses, ils ne sauraient prétendre encore à celui d'y accéder librement. Au demeurant, comme l'a relevé le premier juge, si le chiffre 6.10 des dispositions complémentaires du contrat prévoit que les locataires ont la jouissance exclusive de l'allée accédant au jardin, il ne stipule pas en soi de droit d'y accéder en véhicule. Enfin, les appelants font valoir que leur accès serait rendu "extrêmement difficile pour des personnes", en raison des véhicules stationnés devant l'entrée de la cour. Il s'agit là d'allégations nouvelles - les appelants ne s'étaient prévalu dans leur requête de mesures provisionnelles que de l'empêchement d'entrer ou sortir de la cour avec leur propre véhicule -, qui sont irrecevables (art. 317 al. 1 CPC) et qui ne sont au demeurant ni établies, ni même rendues vraisemblables. L'appel doit être rejeté sur ce point également.</w:t>
      </w:r>
    </w:p>
    <w:p>
      <w:r>
        <w:rPr>
          <w:b/>
        </w:rPr>
        <w:t>E. 7</w:t>
      </w:r>
    </w:p>
    <w:p>
      <w:r>
        <w:t>En conclusion, l'appel doit être rejeté en application de l'art. 312 al. 1 CPC et l'ordonnance attaquée confirmée. Les appelants, qui succombent, supporteront, solidairement entre eux, les frais judiciaires de deuxième instance (art. 106 al. 1 CPC), lesquels doivent être fixés à 800 fr. (art. 65 al. 1 TFJC (Tarif du 28 septembre 2010 des frais judiciaires civils, RSV 270.11.5). Il n'y a pas lieu d'allouer de dépens, dès lors que l'intimé n'a pas été invité à se déterminer sur l'appel et n'a donc pas encouru de frais pour la procédure de deuxième instance (art. 95 al. 3 CPC).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des appelants A.N.________ et B.N.________, solidairement entre eux. IV.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Nicole Wiebach (pour A.N.________ et B.N.________, ‑ Me Denis Sulliger (pour F.________).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