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438 vom 9. August 2011</w:t>
      </w:r>
    </w:p>
    <w:p>
      <w:r>
        <w:t>VD Tribunal cantonal, 2011-08-09, FR</w:t>
      </w:r>
    </w:p>
    <w:p>
      <w:r>
        <w:rPr>
          <w:b/>
        </w:rPr>
        <w:t xml:space="preserve">Quelle: </w:t>
      </w:r>
      <w:r>
        <w:t>https://mcp.opencaselaw.ch/entscheid/vd_findinfo_HC___2011___438</w:t>
      </w:r>
    </w:p>
    <w:p>
      <w:r>
        <w:t>FR: VD_FINDINFO HC / 2011 / 438 du 9 août 2011</w:t>
      </w:r>
    </w:p>
    <w:p>
      <w:r>
        <w:t>IT: VD_FINDINFO HC / 2011 / 438 del 9 agosto 2011</w:t>
      </w:r>
    </w:p>
    <w:p>
      <w:pPr>
        <w:pStyle w:val="Heading2"/>
      </w:pPr>
      <w:r>
        <w:t>Regeste</w:t>
      </w:r>
    </w:p>
    <w:p>
      <w:r>
        <w:t>ASSISTANCE JUDICIAIRE | 29 al. 3 Cst., 117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le recours est ainsi recevable.</w:t>
      </w:r>
    </w:p>
    <w:p>
      <w:r>
        <w:rPr>
          <w:b/>
        </w:rPr>
        <w:t>E. 2</w:t>
      </w:r>
    </w:p>
    <w:p>
      <w:r>
        <w:t>En vertu de l'art. 117 CPC ,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Basler Kommentar, Schweizerischen Zivilprozess-ordnug, n. 12 ad. art 117; Emmel, Kommentar zur Schweizerischenprozessordnung (ZPO), n. 10 ad art. 117). On tiendra en outre compte des charges de loyer, des primes d'assurance obligatoires ou usuelles ainsi que de la charge fiscale, pour autant que ces sommes soient plus ou moins régulièrement payées (Corboz, ibid.). La recourante est la mère de trois enfants mineures. Outre une pension alimentaire d'un montant global de 6'000 fr., elle perçoit un salaire net de l'ordre de 3'200 fr. par mois pour son activité de déléguée médicale qu'elle exerce à 60 %. En plus d'un minimum de base indispensable, défini selon la Conférence des préposés aux poursuites et faillites de Suisse, à 4'095 fr. (1'350 fr. pour un adulte, plus 1'800 fr. pour trois enfants et un supplément de 30 %, par 945 fr.), la recourante supporte, au titre de ses charges, un loyer de 1'720 fr., des primes d'assurances vie et maladie de 986 fr., des acomptes et arriérés d'impôts de 1'793 fr. 75, ainsi que des frais de téléphone de 570 fr. et rembourse des mensualités de 311 fr. 90 pour un prêt relatif à l'achat d'un véhicule. Compte tenu de charges totalisant 9'476 fr. 65 (non compris les frais d’orthodontie et de transport) et d'un revenu global de quelque 9'200 fr., il appert que la recourante n’est pas en mesure d’assumer les frais de justice et d’avocat d’un procès en divorce, particulièrement les frais d’expertise qu’elle va devoir avancer, sans utiliser les ressources nécessaires à l’entretien de sa famille. A cet égard, Il ne se justifie notamment pas d’exclure de ses charges, comme l'a fait le premier juge, les primes dont elle s'acquitte au titre de l’assurance maladie complémentaire, qui lui évitent le risque de frais médicaux relativement importants, ainsi que les frais de remboursement du véhicule qui lui est nécessaire pour exercer sa profession, les frais de transport qui lui sont versés par son employeur devant en outre être considérés comme des frais effectifs. Enfin, il ressort des pièces produites par la recourante, notamment de celles ayant trait aux modalités de paiement d’impôts et de frais médicaux, que l’équilibre financier de son ménage est précaire et qu'il serait ainsi mis en péril par les charges du procès.</w:t>
      </w:r>
    </w:p>
    <w:p>
      <w:r>
        <w:rPr>
          <w:b/>
        </w:rPr>
        <w:t>E. 3</w:t>
      </w:r>
    </w:p>
    <w:p>
      <w:r>
        <w:t>Il s'ensuit que le recours doit être admis et l'assistance judiciaire accordée à la recourante, avec effet au 30 mai 2011, date de sa requête, une franchise de 50 fr. par mois lui étant par ailleurs imposée (art. 118 al. 2 CPC) à compter du mois de septembre 2011. Le présent arrêt est rendu sans frais (art. 119 al. 6 CPC). Le président du tribunal d'arrondissement n'ayant pas qualité de partie, mais d'autorité de première instance, la recourante ne se verra pas allouer de dépens. Par ces motifs, la Chambre des recours civile du Tribunal cantonal, statuant à huis clos, prononce : I.              Le recours est admis. II. Il est statué à nouveau comme il suit : a)              accorde à L.________, le bénéfice de l'assistance judiciaire dans la cause en divorce qui l'oppose à B.________. b)              dit que le bénéfice de l'assistance judiciaire est accordé dans la mesure suivante : - exonération des avances de frais et des frais judiciaires, - assistance d'office d'un avocat en la personne de Me Franck Ammann. c)              dit que L.________, paiera une franchise mensuelle de 50 fr. (cinquante francs) dès et y compris le 1 er septembre 2011, à verser auprès du Service juridique et législatif, Secteur recouvrement, case postale, à 1014 Lausanne. III.              Il n'est pas perçu de frais judiciaires. IV.              L'arrêt motivé est exécutoire. Le président :               La greffière : Du 15 août 2011 Le dispositif de l'arrêt qui précède est communiqué par écrit aux intéressés. La greffière : Du L'arrêt qui précède, dont la rédaction a été approuvée à huis clos, est notifié en expédition complète, par l'envoi de photocopies, à : ‑ Me Franck Ammann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