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435 vom 9. Juni 2011</w:t>
      </w:r>
    </w:p>
    <w:p>
      <w:r>
        <w:t>VD Tribunal cantonal, 2011-06-09, FR</w:t>
      </w:r>
    </w:p>
    <w:p>
      <w:r>
        <w:rPr>
          <w:b/>
        </w:rPr>
        <w:t xml:space="preserve">Quelle: </w:t>
      </w:r>
      <w:r>
        <w:t>https://mcp.opencaselaw.ch/entscheid/vd_findinfo_HC___2011___435</w:t>
      </w:r>
    </w:p>
    <w:p>
      <w:r>
        <w:t>FR: VD_FINDINFO HC / 2011 / 435 du 9 juin 2011</w:t>
      </w:r>
    </w:p>
    <w:p>
      <w:r>
        <w:t>IT: VD_FINDINFO HC / 2011 / 435 del 9 giugno 2011</w:t>
      </w:r>
    </w:p>
    <w:p>
      <w:pPr>
        <w:pStyle w:val="Heading2"/>
      </w:pPr>
      <w:r>
        <w:t>Regeste</w:t>
      </w:r>
    </w:p>
    <w:p>
      <w:r>
        <w:t>ASSISTANCE JUDICIAIRE, HONORAIRES, INDEMNITÉ{EN GÉNÉRAL}, AVOCAT D'OFFICE | 122 al. 1 let. d CPC (CH), 2 al. 1 RAJ</w:t>
      </w:r>
    </w:p>
    <w:p>
      <w:pPr>
        <w:pStyle w:val="Heading2"/>
      </w:pPr>
      <w:r>
        <w:t>Erwägungen</w:t>
      </w:r>
    </w:p>
    <w:p>
      <w:r>
        <w:rPr>
          <w:b/>
        </w:rPr>
        <w:t>E. 1</w:t>
      </w:r>
    </w:p>
    <w:p>
      <w:r>
        <w:t>Le recours de l’art. 319 let. a CPC (Code de procédure civile suisse du 19 décembre 2008 ; RS 272) est ouvert contre les décisions finales de première instance qui ne peuvent faire l’objet d’un appel. Tel est le cas en l’espèce, s’agissant d'une décision qui fixe une indemnité inférieure à 10'000 francs. Déposé et motivé en temps utile par une partie qui y a un intérêt, le présent recours est recevable.</w:t>
      </w:r>
    </w:p>
    <w:p>
      <w:r>
        <w:rPr>
          <w:b/>
        </w:rPr>
        <w:t>E. 2</w:t>
      </w:r>
    </w:p>
    <w:p>
      <w:r>
        <w:t>Le recourant se plaint de violation de l'interdiction de l'arbitraire prévue à l'art. 9 de la Constitution fédérale (ci-après Cst ; RS 101), de violation des garanties générales de procédure de l'art. 29 Cst et de constatation manifestement inexacte des faits (art. 320 CPC). En substance, il considère que le premier juge a procédé à une appréciation arbitraire du temps consacré au mandat par son collaborateur, en réduisant ce temps de 19 heures à 13 heures et 20 minutes. Le recourant soutient que les heures annoncées dans sa liste d’opérations correspondent à la réalité et seraient justifiées par la nature des recherches juridiques qu’il a fallu effectuer, l’inexpérience du collaborateur stagiaire et les difficultés inhérentes à l’entrée en vigueur du nouveau droit de procédure.</w:t>
      </w:r>
    </w:p>
    <w:p>
      <w:r>
        <w:rPr>
          <w:b/>
        </w:rPr>
        <w:t>E. 3</w:t>
      </w:r>
    </w:p>
    <w:p>
      <w:r>
        <w:t>Cst. Cette disposition impose dès lors aux cantons d'assurer à l'avocat d'office une rémunération raisonnable (ATF non publié C. du 9 novembre 1988, cité par Favre, op. cit., p. 139). A condition d'être équitable, il est admis que la rémunération de l'avocat d'office puisse être inférieure à celle du mandataire choisi. Elle doit couvrir les frais généraux de l'avocat et lui permettre de réaliser un gain modeste (5D_116/2009 c. 5 ; ATF 132 I 201 c. 8.6). Il appartient en outre aux juridictions cantonales de juger de l'adéquation entre les activités déployées par le conseil d'office et celles qui sont justifiées par l'accomplissement de sa tâche (5D_116/2009 c. 5 précité). Pour déterminer la rémunération de l'avocat d'office, il convient, dans un premier temps, de vérifier la conformité de la décision entreprise avec les dispositions applicables prévues par la législation, puis, en second lieu, de s'assurer que l'indemnité n'est pas arbitraire. b) Aux termes de l’art. 122 al. 1 let. a CPC, le conseil juridique commis d’office est rémunéré équitablement par le canton. L’art. 2 al. 1 RAJ (règlement du 7 décembre 2010 sur l'assistance judiciaire en matière civile ;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 stagiaire.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 ATF 122 I 1 c. 3a ; arrêt du TF non publié C. du 9 novembre 1988 précité).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précité c. 3b ; 117 la 22 précité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 117 Ia 22 précité c.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5P.462/2002 du 30 janvier 2003 ; Pdt TC 23 juillet 2001/37).</w:t>
      </w:r>
    </w:p>
    <w:p>
      <w:r>
        <w:rPr>
          <w:b/>
        </w:rPr>
        <w:t>E. 4</w:t>
      </w:r>
    </w:p>
    <w:p>
      <w:r>
        <w:t>En l’espèce, la procédure pour laquelle le recourant a été désigné pour assister son client était une procédure simplifiée d’action en modification d’une contribution d’entretien en faveur d’un enfant. Le recourant a uniquement déposé une requête de conciliation de quatre pages, page de garde comprise. Cette écriture ne contient que quelques considérations juridiques de base, relatives à la procédure et à l’assistance judiciaire, à l’exclusion du fond. Sur le plan de la procédure judiciaire stricto sensu, les opérations de l’avocat d’office ont été peu nombreuses et ont consisté pour l’essentiel à préparer et rédiger dite requête, ainsi qu’à préparer et comparaître à l’audience de conciliation, qui a duré 45 minutes et a abouti à une transaction mettant fin à la procédure. Au vu de ce qui précède, l’estimation des opérations judiciaires à laquelle s’est livré le premier juge, soit 4 heures pour la rédaction de la requête, au lieu de 5 heures annoncées et 3 heures pour la préparation de l’audience, au lieu de 7 heures 40 annoncées, paraît non seulement dénuée d’arbitraire, mais même relativement généreuse. Pour le reste, les autres activités de l’avocat ont porté sur des entretiens téléphoniques et correspondance avec le client et différentes autorités. Le temps consacré à ces activités n’a pas été remis en cause par le premier juge. On peut encore ajouter, s’agissant de l’argument du recourant relatif au temps et aux frais de déplacement, que ceux-ci sont compris dans les débours alloués et que l’estimation faite par le premier juge du temps consacré au mandat tient compte des déplacements. Malgré la méticulosité du recourant, qui parait être un choix de celui-ci et qui n'implique pas nécessairement que cette méthode de travail soit économique au regard de la jurisprudence (TF 5P.462/2002 du 30 janvier 2003 précité ; Pdt TC 23 juillet 2001/37 précité), ainsi que les « recherches juridiques » effectuées au sujet du droit cantonal vaudois (recours, p. 8), le recourant méconnaît, ou méconnaissait du moins au moment de l’envoi de sa liste d’opérations, le tarif horaire du règlement sur l'assistance judiciaire en matière civile, puisqu’il se réfère à un tarif de 200 fr. pour lui et de 100 fr. pour sa stagiaire. Enfin, il faut constater, avec le premier juge, que l'essentiel des heures figurant dans le relevé des opérations correspond à l'activité de l'avocate-stagiaire, qui se trouve en formation, ce qui peut l'amener à consacrer un temps excessif à la cause.</w:t>
      </w:r>
    </w:p>
    <w:p>
      <w:r>
        <w:rPr>
          <w:b/>
        </w:rPr>
        <w:t>E. 5</w:t>
      </w:r>
    </w:p>
    <w:p>
      <w:r>
        <w:t>En conclusion, le recours doit être rejeté et la décision attaquée confirmée. Les frais judiciaires de deuxième instance du recourant sont arrêtés à 100 fr. (art. 69 TFJC [Tarif du 28 septembre 2010 des frais judiciaires civils ; RSV 270.11.5]). Par ces motifs, la Chambre des recours civile du Tribunal cantonal, statuant à huis clos, en application de l'art. 322 al. 1 CPC, prononce : I. Le recours est rejeté. II. La décision du 19 avril 2011 est confirmée. III. Les frais judiciaires de deuxième instance, arrêtés à 100 fr. (cent francs) sont mis à la charge du recourant W.________. IV. L'arrêt motivé est exécutoire. Le président :               Le greffier : Du Le dispositif de l'arrêt qui précède est communiqué par écrit aux intéressés. Le greffier : Du L'arrêt qui précède, dont la rédaction a été approuvée à huis clos, est notifié en expédition complète, par l'envoi de photocopies, à : ‑ Me W.________, - M. L.________ La Chambre des recours civile considère que la valeur litigieuse est de 493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