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432 vom 19. Juli 2011</w:t>
      </w:r>
    </w:p>
    <w:p>
      <w:r>
        <w:t>VD Tribunal cantonal, 2011-07-19, FR</w:t>
      </w:r>
    </w:p>
    <w:p>
      <w:r>
        <w:rPr>
          <w:b/>
        </w:rPr>
        <w:t xml:space="preserve">Quelle: </w:t>
      </w:r>
      <w:r>
        <w:t>https://mcp.opencaselaw.ch/entscheid/vd_findinfo_HC___2011___432</w:t>
      </w:r>
    </w:p>
    <w:p>
      <w:r>
        <w:t>FR: VD_FINDINFO HC / 2011 / 432 du 19 juillet 2011</w:t>
      </w:r>
    </w:p>
    <w:p>
      <w:r>
        <w:t>IT: VD_FINDINFO HC / 2011 / 432 del 19 luglio 2011</w:t>
      </w:r>
    </w:p>
    <w:p>
      <w:pPr>
        <w:pStyle w:val="Heading2"/>
      </w:pPr>
      <w:r>
        <w:t>Regeste</w:t>
      </w:r>
    </w:p>
    <w:p>
      <w:r>
        <w:t>ACTION EN CONTESTATION DE L'ÉTAT DE COLLOCATION | 754 CO, 260 LP</w:t>
      </w:r>
    </w:p>
    <w:p>
      <w:pPr>
        <w:pStyle w:val="Heading2"/>
      </w:pPr>
      <w:r>
        <w:t>Erwägungen</w:t>
      </w:r>
    </w:p>
    <w:p>
      <w:r>
        <w:rPr>
          <w:b/>
        </w:rPr>
        <w:t>E. 1</w:t>
      </w:r>
    </w:p>
    <w:p>
      <w:r>
        <w:t>a) Le Code de procédure civile suisse du 19 décembre 2008 (ci-après CPC; RS 272) est entré en vigueur le 1 er janvier 2011. Toutefois, le jugement attaqué a été communiqué aux parties, par la remise d'un dispositif écrit, avant cette date, de sorte que ce sont les règles du CPC-VD qui sont applicables (art. 405 al. 1 CPC). En effet, la remise d'un dispositif écrit, le cas échéant, vaut communication de la décision aux termes de l'art. 405 al. 1 CPC (ATF 137 III 127, JT 2011 II 226), et la communication de la décision aux parties intervient à la date de l'envoi de l'acte par le tribunal, à l'exclusion de la date de réception par l'une ou l'autre des partie (ATF 137 III 130, JT 2011 II 228). b) L'art. 451 CPC-VD ouvre la voie du recours en réforme contre les jugements principaux rendus par un président de Tribunal statuant comme juge unique. Déposé en temps utile (art. 458 al.</w:t>
      </w:r>
    </w:p>
    <w:p>
      <w:r>
        <w:rPr>
          <w:b/>
        </w:rPr>
        <w:t>E. 2</w:t>
      </w:r>
    </w:p>
    <w:p>
      <w:r>
        <w:t>a) L'action en contestation de l'état de collocation tend à la rectification matérielle de l'état de collocation et aboutit à une décision définitive sur la question de savoir dans quelle mesure la créance litigieuse peut participer à la liquidation de la faillite. Cette action permet aux parties concernées de faire examiner par le juge le bien-fondé des créances et soumet à celui-ci toutes les questions de droit matériel concernant l'existence de la créance ainsi que le rapport dans lequel elle se trouve avec les autres créances (ATF 119 I 84, JT 1995 III 48, c. 2b; Stoffel, Voies d'exécution, Poursuites pour dettes, exécution de jugements et faillite en droit suisse, Berne 2002, n. 94 p. 320). Le droit matériel n'est toutefois qu'une question préjudicielle à la question principale, qui est de savoir si la prétention produite fait partie de la masse passive (ATF 62 II 300, JT 1937 I 210, c. 4; Gilliéron, Commentaire de la loi fédérale sur la poursuite pour dettes et faillite, articles 159-270, Lausanne 2001, n. 44 in fine ad art. 250 LP, p. 800). b) En l'espèce, le litige porte sur l'admission à l'état de collocation de la faillite de la succession répudiée de G.________ d'une créance en faveur du recourant de 239'150 fr., représentant le solde du dommage qui résulterait de la responsabilité de feu G.________ en sa qualité d'administrateur de [...] SA. Par décision du 3 novembre 1997, la masse en faillite de [...] SA a cédé au demandeur, ainsi qu'à la société [...] SA et à la [...] qui ont toutefois finalement renoncé à procéder, ses droits portant sur l'action en responsabilité au sens des art. 752 ss CO contre G.________. Le demandeur a fait valoir ces droits dans le cadre d'une première action en contestation de l'état de collocation qu'il a intentée à l'encontre de la masse concordataire de G.________ devant la Cour civile du Tribunal cantonal. Cette action a abouti à l'admission à l'état de collocation dressé dans la procédure de liquidation du concordat par abandon d'actifs de G.________ d'une créance en faveur du demandeur de 90'095 fr. 85, qui correspondait au montant des créances que ce dernier avait produites dans le cadre de la faillite de [...] SA. En effet, si la Cour civile du Tribunal cantonal, dans son jugement du 21 juin 2004, a retenu que les carences de l'administrateur G.________ étaient fautives au sens des art. 752 ss CO et qu'elles avaient causé à la société un dommage de 320'000 fr., elle a relevé que l'aboutissement de l'action en contestation de l'état de collocation ne pouvait aller au-delà de la production du demandeur et s'est donc limitée à prononcer l'admission, à l'état de collocation dressé dans la procédure de liquidation de la masse concordataire de G.________, de la créance de 90'095 fr. 85 produite par le demandeur. La Cour civile a ainsi statué sur la prétention en responsabilité à l'encontre de G.________ dont le demandeur avait obtenu la cession selon l'art. 260 al. 1 LP par décision du 3 novembre 1997, mais, en raison de la nature de l'action en contestation de l'état de collocation dont elle était saisie, et quand bien même elle a constaté que le dommage subi par [...] SA s'élevait à 320'000 fr., elle s'est limitée à prononcer l'admission, à l'état de collocation dressé dans la procédure de liquidation de la masse concordataire de G.________, de la créance de 90'095 fr. 85 produite par le recourant, sans statuer sur les prétentions en responsabilité à l'encontre de G.________ qui excédaient ce montant. c) Dans son mémoire de recours, le recourant soutient à cet égard que, en tant que cessionnaire des droits de la masse, il bénéficiait de tous les droits et notamment du droit de poursuivre en responsabilité les administrateurs de [...] SA, et d'exiger le total du dommage causé. La cession des droits ne se limitait pas aux prétentions personnelles du recourant, qui pouvait donc demander tout le dommage, étant rappelé que la faillite de [...] SA avait laissé un découvert de 987'938 fr. 36. Tout en admettant qu'en tant que cessionnaire, il n'aurait pas pu obtenir davantage que le montant de sa créance produite dans la faillite de [...] SA, le recourant fait valoir que l'excédent revient de droit à la masse en faillite selon la lettre claire de l'art. 260 LP, de sorte que le premier juge aurait dû statuer sur l'action et, en cas d'excédent, ordonner que celui-ci soit reversé à la masse en faillite dont le recourant a obtenu la cession des droits. Ces griefs sont dénués de pertinence. En effet, le créancier qui a obtenu la cession des droits de la masse selon l'art. 260 LP a certes la faculté d'exercer à son profit l'entier de la créance cédée, cette faculté étant tempérée par l'obligation qui lui est faite selon l'art. 260 al. 1 LP de reverser à la masse ce qui dépasse le montant de sa créance colloquée et des frais effectivement encourus, étant précisé que l'excédent du produit obtenu par les créanciers cessionnaires va à l'office des faillites, à disposition de la masse, même si la procédure de faillite a été clôturée dans l'intervalle (ATF 122 III 341, JT 1998 III 75). Toutefois, en l'espèce, le recourant a fait valoir dans un premier procès en contestation de l'état de collocation l'entier de la créance en responsabilité contre G.________ qui avait fait l'objet d'une cession selon l'art. 260 al. 1 LP, et il a obtenu dans ce premier procès l'intégralité de la créance qu'il avait produite dans la faillite de [...] SA, ainsi que des dépens. Par conséquent, il ne peut se voir reconnaître la qualité pour réclamer, dans un second procès, la reconnaissance de prétentions en responsabilité à l'encontre de G.________ qui devraient revenir dans leur intégralité à la masse en faillite de [...] SA. d) Dans ces conditions, le rejet de la demande par le premier juge échappe à la critique, et il n'est pas nécessaire d'examiner les griefs soulevés par le recourant à l'encontre des autres motifs retenus par surabondance par le premier juge, à savoir d'une part qu'en vertu de l'art. 310 al. 1 LP, le concordat homologué aurait éteint les prétentions du recourant, et d'autre part que l'action en responsabilité serait prescrite.</w:t>
      </w:r>
    </w:p>
    <w:p>
      <w:r>
        <w:rPr>
          <w:b/>
        </w:rPr>
        <w:t>E. 3</w:t>
      </w:r>
    </w:p>
    <w:p>
      <w:r>
        <w:t>a) Il résulte de ce qui précède que le recours doit être rejeté et le jugement attaqué confirmé. b) Les frais de deuxième instance du recourant sont arrêtés à 778 fr. (art. 232 al. 1 TFJC [tarif du 4 décembre 1984 des frais judiciaires civils]). Dès lors que la défenderesse n'a pas assumé de frais ni déboursés pour la procédure de deuxième instance, il n'y a pas lieu d'allouer des dépens (art. 91 et 92 CPC-VD). Par ces motifs, la Chambre des recours du Tribunal cantonal, statuant à huis clos, en application de l'art. 465 al. 1 CPC-VD, prononce : I.              Le recours est rejeté. II.              Le jugement est confirmé. III.              Les frais de deuxième instance, arrêtés à 778 fr. (sept cent septante-huit francs), sont mis à la charge du recourant. IV.              Il n'est pas alloué de dépens. V.              L'arrêt motivé est exécutoire. Le président :               La greffière : Du 19 juillet 2011 Le dispositif de l'arrêt qui précède est communiqué par écrit aux intéressés. La greffière : Du L'arrêt qui précède, dont la rédaction a été approuvée à huis clos, est notifié en expédition complète, par l'envoi de photocopies, à : ‑ Me Eric Muster (pour Q.________), ‑ Me Jean-Noël Jaton (pour l'E.________). La Chambre des recours considère que la valeur litigieuse est de 47'830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