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413 vom 1. Juli 2011</w:t>
      </w:r>
    </w:p>
    <w:p>
      <w:r>
        <w:t>VD Tribunal cantonal, 2011-07-01, FR</w:t>
      </w:r>
    </w:p>
    <w:p>
      <w:r>
        <w:rPr>
          <w:b/>
        </w:rPr>
        <w:t xml:space="preserve">Quelle: </w:t>
      </w:r>
      <w:r>
        <w:t>https://mcp.opencaselaw.ch/entscheid/vd_findinfo_HC___2011___413</w:t>
      </w:r>
    </w:p>
    <w:p>
      <w:r>
        <w:t>FR: VD_FINDINFO HC / 2011 / 413 du 1 juillet 2011</w:t>
      </w:r>
    </w:p>
    <w:p>
      <w:r>
        <w:t>IT: VD_FINDINFO HC / 2011 / 413 del 1 luglio 2011</w:t>
      </w:r>
    </w:p>
    <w:p>
      <w:pPr>
        <w:pStyle w:val="Heading2"/>
      </w:pPr>
      <w:r>
        <w:t>Regeste</w:t>
      </w:r>
    </w:p>
    <w:p>
      <w:r>
        <w:t>PROCURATION, MANDAT | 398 al. 3 CO, 398 CO, 132 al. 1 CPC (CH), 132 CPC (CH)</w:t>
      </w:r>
    </w:p>
    <w:p>
      <w:pPr>
        <w:pStyle w:val="Heading2"/>
      </w:pPr>
      <w:r>
        <w:t>Erwägungen</w:t>
      </w:r>
    </w:p>
    <w:p>
      <w:r>
        <w:rPr>
          <w:b/>
        </w:rPr>
        <w:t>E. 1</w:t>
      </w:r>
    </w:p>
    <w:p>
      <w:r>
        <w:t>La décision attaquée a été rendue le 12 mai 2011, de sorte que les voies de droit sont régies par le CPC (art. 405 al. 1 CPC).</w:t>
      </w:r>
    </w:p>
    <w:p>
      <w:r>
        <w:rPr>
          <w:b/>
        </w:rPr>
        <w:t>E. 2</w:t>
      </w:r>
    </w:p>
    <w:p>
      <w:r>
        <w:t>La décision rendue par le juge de paix doit être assimilée à une mesure d'instruction. Il s'agit en effet d'une décision d'ordre procédural par laquelle le juge détermine le déroulement formel et l'organisation matérielle de l'instance. Se rapportant à la préparation et à la conduite des débats, elle statue en particulier sur l'opportunité et les modalités de l'administration des preuves (Jeandin, in Code de procédure civile commentée, Bâle 2011, n° 11 et 14 ad art. 319 CPC). L'art. 319 let. b al. 2 CPC ouvre la voie du recours contre les décisions et ordonnances d'instruction de première instance lorsqu'elles peuvent causer un préjudice difficilement réparable. Tel est le cas en l'espèce, l'art. 132 al. 1 i.f. CPC ayant comme conséquence que l'acte n'est pas pris en considération, ce qui pourrait paralyser l'action au fond si celle-ci est susceptible d'être prescrite ou périmée. Le recours, écrit et motivé, doit s'exercer dans un délai de dix jours pour les ordonnances d'instruction (art. 321 al. 2 CPC). En l'occurrence, motivé et déposé en temps utile par un justiciable qui y a un intérêt, le recours est recevable.</w:t>
      </w:r>
    </w:p>
    <w:p>
      <w:r>
        <w:rPr>
          <w:b/>
        </w:rPr>
        <w:t>E. 3</w:t>
      </w:r>
    </w:p>
    <w:p>
      <w:r>
        <w:t>Le recours est recevable pour violation du droit et constatation manifestement inexacte des faits (art. 320 let. b CPC). L'autorité de recours dispose d'un plein pouvoir d'examen s'agissant de la violation du droit (Spühler, Commentaire bâlois,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173.10), le grief de la constatation manifestement inexacte des faits ne permet que de corriger une erreur évidente, la notion se recoupant en définitive avec l'appréciation arbitraire des preuves (Corboz et Al., Commentaire de la LTF, 2009, n° 19 ad art. 97 p. 941). Les constatations de fait et l'appréciation des preuves sont arbitraires lorsqu'elles sont évidemment fausses, contredisent d'une manière choquante le sentiment de la justice et d'équité, reposent sur un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Le recourant invoque une constatation manifestement inexacte des faits et la violation du droit. Le 2 février 2011, S.________, au nom de X.________ SA, a donné procuration avec pouvoir de substitution à son confrère L.________ aux fins de représenter sa mandante et d'agir en son nom dans le procès l'opposant à C.________. Il s'agit d'un transfert de mandat. Aux termes de l'art. 398 al. 3 CO, le mandataire est tenu d'exécuter personnellement le mandat, à moins qu'il ne soit autorisé à le transférer à un tiers, qu'il n'y soit contraint par les circonstances ou que l'usage ne permette une substitution de pouvoirs. En l'espèce, le mandat signé le 26 janvier 2011 contient expressément les termes "avec pouvoir de substitution". Ce pouvoir de substitution s'entend, sauf à se livrer à du formalisme excessif, à un autre agent d'affaires. On ne peut à cet égard suivre l'avis du premier juge qui considère que la procuration, faute de mentionner un agent d'affaires, ne permettrait pas à S.________ de substituer un de ses confrères pour la poursuite du mandat. Il faut au contraire considérer que X.________ SA a donné procuration à un agent d'affaires pour agir en son nom dans le cadre d'un litige civil en admettant que cet agent d'affaires transfère le mandat à un tiers, donc également à un autre agent d'affaires. L'art. 399 al. 2 CO est très clair à ce sujet en disposant que si le mandataire a reçu le pouvoir de se substituer quelqu'un, il ne répond que du soin avec lequel il a choisi le sous-mandataire et donné ses instructions.</w:t>
      </w:r>
    </w:p>
    <w:p>
      <w:r>
        <w:rPr>
          <w:b/>
        </w:rPr>
        <w:t>E. 5</w:t>
      </w:r>
    </w:p>
    <w:p>
      <w:r>
        <w:t>Le recours doit dès lors être admis. Le présent arrêt peut être rendu sans frais judiciaires, ceux-ci n'étant pas imputables aux parties (art. 107 al. 2 CPC par renvoi de l'art. 76 al. 4 TFJC [tarif du 28 septembre 2010 des frais judiciaires civils; RSV 270.11.5]). Par ces motifs, la Chambre des recours civile du Tribunal cantonal, statuant à huis clos, prononce : I.              Le recours est admis. II.              La requérante X.________ SA est valablement représentée par l'agent d'affaires breveté L.________. III.              Le Juge de paix du district du Jura – Nord vaudois est invité à suivre à la procédure de conciliation une fois l'avance de frais effectuée par la requérante, cas échéant en fixant à celle-ci un nouveau délai à cet effet. IV.              L'arrêt est rendu sans frais. 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 Julien Greub (pour X.________ SA); - M. C.________. La Chambre des recours civile considère que la valeur litigieuse est de 5'765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