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 vom 4. November 2010</w:t>
      </w:r>
    </w:p>
    <w:p>
      <w:r>
        <w:t>VD Tribunal cantonal, 2010-11-04, FR</w:t>
      </w:r>
    </w:p>
    <w:p>
      <w:r>
        <w:rPr>
          <w:b/>
        </w:rPr>
        <w:t xml:space="preserve">Quelle: </w:t>
      </w:r>
      <w:r>
        <w:t>https://mcp.opencaselaw.ch/entscheid/vd_findinfo_HC___2011___41</w:t>
      </w:r>
    </w:p>
    <w:p>
      <w:r>
        <w:t>FR: VD_FINDINFO HC / 2011 / 41 du 4 novembre 2010</w:t>
      </w:r>
    </w:p>
    <w:p>
      <w:r>
        <w:t>IT: VD_FINDINFO HC / 2011 / 41 del 4 novembre 2010</w:t>
      </w:r>
    </w:p>
    <w:p>
      <w:pPr>
        <w:pStyle w:val="Heading2"/>
      </w:pPr>
      <w:r>
        <w:t>Regeste</w:t>
      </w:r>
    </w:p>
    <w:p>
      <w:r>
        <w:t>OBLIGATION D'ENTRETIEN, CONJOINT, AVANCE DE FRAIS | 125 CC, 163 CC</w:t>
      </w:r>
    </w:p>
    <w:p>
      <w:pPr>
        <w:pStyle w:val="Heading2"/>
      </w:pPr>
      <w:r>
        <w:t>Erwägungen</w:t>
      </w:r>
    </w:p>
    <w:p>
      <w:r>
        <w:rPr>
          <w:b/>
        </w:rPr>
        <w:t>E. 1</w:t>
      </w:r>
    </w:p>
    <w:p>
      <w:r>
        <w:t>Le recours en nullité (art. 444 et 445 CPC-VD [Code de procédure civile du 14 décembre 1966, RSV 270.11]) et en réforme (art. 451 ch. 2 CPC-VD) est ouvert contre un jugement principal rendu par un tribunal d'arrondissement dans un procès en divorce régi par les règles sur la procédure accélérée (art. 371 ss CPC-VD). Le recours en nullité, voie de droit subsidiaire, interjeté par chacune des parties est irrecevable compte tenu du large pouvoir d'examen dont dispose la cour de céans dans le cadre du recours en réforme.</w:t>
      </w:r>
    </w:p>
    <w:p>
      <w:r>
        <w:rPr>
          <w:b/>
        </w:rPr>
        <w:t>E. 2</w:t>
      </w:r>
    </w:p>
    <w:p>
      <w:r>
        <w:t>Saisi d'un recours en réforme contre un jugement principal rendu par un tribunal d'arrondissement statuant en procédure accélérée, le Tribunal cantonal revoit librement la cause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CPC-VD (art. 452 al. 1ter et 2 CPC-VD;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VD; JT 2006 III 8 c. 3b; Leuenberger, Basler Kommentar, 3ème éd., 2006, n. 2 ad art. 138 CC, p. 883). En l'espèce, l'état de fait du jugement attaqué est conforme aux pièces du dossier, sous réserve des rectifications et compléments suivants : - La prime mensuelle d'assurance-maladie du recourant s'élève à 298 fr. 20 (pièce 114c et mémoire du recourant, p. 7). - Le montant des impôts annuels du recourant s'élève à 15'540 fr. 15 pour le canton et la commune et à 2'133 fr. pour l'impôt fédéral direct (pièce 54b).</w:t>
      </w:r>
    </w:p>
    <w:p>
      <w:r>
        <w:rPr>
          <w:b/>
        </w:rPr>
        <w:t>E. 3</w:t>
      </w:r>
    </w:p>
    <w:p>
      <w:r>
        <w:t>Aux termes de l'art. 125 aI.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c. 3.1; FamPra.ch 2003, p. 169; ATF 127 III 136 c. 2a, rés. in JT 2002 I 253; ATF 128 III 257).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compte tenu de la durée du mariage (à savoir 28 ans jusqu'à l'ouverture de l'action en divorce), de la naissance de deux enfants dans ce cadre et de la répartition traditionnelle des tâches durant le mariage, pendant lequel l'épouse s'est en grande partie occupée de l'éducation des enfants, le droit à une contribution d'entretien en faveur de celle-ci doit être reconnu dans son principe. Le point de savoir si, le cas échéant, le fait que la recourante n'ait jamais repris d'activité lucrative en dépit de l'indépendance des enfants devenus majeurs sera examiné ci-dessous, dans l'examen de sa capacité à subvenir elle-même à son entretien.</w:t>
      </w:r>
    </w:p>
    <w:p>
      <w:r>
        <w:rPr>
          <w:b/>
        </w:rPr>
        <w:t>E. 4</w:t>
      </w:r>
    </w:p>
    <w:p>
      <w:r>
        <w:t>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Cette jurisprudence a été nuancée (TF 5A_434/2008 du 5 septembre 2008 in ATF 134 III 577, JT 2009 I 272, SJ 2009 I 449, aussi in Audrey Leuba, Chroniques, Droit des personnes et de la famille, JT 2009 I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Si le divorce est prononcé à l'issue d'une longue séparation, c'est la situation pendant cette période qui est déterminante (ATF 129 III 7 c. 3.1.1). A cet égard, le Tribunal fédéral a jugé insuffisante une séparation de 8 ans, exigeant une séparation d'environ dix ans (TF 5A_249/2007 du 12 mars 2008 c. 7.1). La date de la séparation définitive est déterminante (TF 5C.320/2006 du 1er février 2007 reproduit in FamPra.ch 2007, p. 685). Il existe une présomption de fait selon laquelle il est déraisonnable d'exiger la reprise d'une activité lucrative au-delà de l'âge de 45 ans, mais cette limite d'âge ne doit pas être considérée comme une règle stricte (TF 5A_11/2008 du 18 mars 2008 c. 4.1; Pichonnaz/Rumo-Jungo, op. cit., spéc. note 41 à la p. 56). Toutefois, après un mariage de 20 ans, avec un âge avancé et une santé fragile, les chances de l'ex-épouse sur le marché du travail sont restreintes, même avec une bonne formation (TF 5A_679/2007 du 13 octobre 2008 reproduit in FamPra.ch 2009, p. 198). En l'espèce, sous réserve de la période durant laquelle la recourante a droit aux prestations de l'assurance-chômage, il lui est difficile d'obtenir un revenu fixe dans un emploi stable, puisqu'elle est âgée de 56 ans et n'a pas de formation professionnelle, même si elle jouit d'une bonne santé. Selon le témoin M.________, la recourante a certes exercé une activité d'esthéticienne au domicile conjugal après avoir été encouragée par son mari durant plusieurs années à reprendre une activité lucrative; toutefois, elle a recherché en vain jusqu'à présent un travail stable, après avoir suivi des cours d'informatique (jgt p. 5). Dans ces conditions, on ne peut pas déduire sans autre que la recourante peut travailler normalement et pourvoir seule à son entretien. Compte tenu de toutes les circonstances du cas d'espèce, il y a lieu d'admettre que la capacité de gain de la recourante n'est que partielle et que seul un revenu modeste ou intermittent, par exemple dans l'exercice d'une activité indépendante (esthéticienne) ou de contrats de travail intérimaires (secrétariat), peut entrer en considération au titre du revenu hypothétique. Dans un premier temps, il faut tenir compte des prestations de l'assurance-chômage à raison de 2'000 fr. par mois jusqu'au mois de septembre 2011. Par la suite, on peut retenir que la recourante dispose d'une certaine capacité de gain, sans que l'on puisse attendre d'elle l'exercice d'un emploi à plein temps, de sorte que son revenu mensuel moyen pourra atteindre entre 1'000 et 3'000 francs, soit une moyenne de 2'000 fr. par mois. En ce qui concerne la fille majeure des parties, il faut admettre que la prise en charge de celle-ci n'est plus nécessaire (art. 125 al. 2 ch. 6 CC), sous réserve d'une aide ponctuelle ne dépassant pas ce qui est normalement offert par la famille, en l'occurrence les deux parents. Dans le cadre de la fixation du montant de la contribution en faveur de la recourante, il convient de tenir compte dans une certaine mesure du montant de 120'000 fr. que celle-ci a reçu lors de la liquidation du régime matrimonial (art. 125 al. 2 ch. 5 CC) et aussi de la somme de 330'000 fr. transférée en sa faveur au titre de la prévoyance professionnelle (art. 125 al. 2 ch. 8 CC), dont on peut déduire que la recourante ne peut arguer de ses besoins de prévoyance – ou de l'inexistence de fonds destinés à satisfaire ses besoins après l'âge de la retraite - pour obtenir une augmentation de la contribution d'entretien en sa faveur. La recourante n'a pas fourni d'indications chiffrées sur les dépenses des parties et leur niveau de vie antérieur, ce qu'il lui incombait de faire si elle entendait fonder sa prétention en entretien sur le maintien d'un train de vie épuisant tous les revenus du couple (cf. TF 5A_205/2010 du 12 juillet 2010 c. 4.2.4 et 4.3). Or, si les parties étaient dans une situation matérielle favorable, il apparaît qu'elles ont amassé une certaine épargne, laquelle a été redistribuée dans le cadre de la liquidation du régime matrimonial, si bien qu'on ne saurait admettre sans autre la méthode de partage de l'excédent pour fixer la contribution d'entretien en faveur de l'ex-épouse, comme elle le préconise (mémoire p. 4). Cette méthode constitue toutefois un point de départ dans la détermination de la pension. La situation économique du recourant étant aisée (revenu net de l'ordre de 10'530 fr. par mois et même de 11'407 fr. 50 en tenant compte du treizième salaire; jgt p. 6), il suffit de partir des besoins économiques concrets de la recourante. Celle-ci réclame les montants de 1'200 fr. pour son entretien sur la base du minimum vital de droit des poursuites, de 340 fr. pour l'assurance-maladie et de 300 fr. pour les impôts, ce qui est adéquat. En revanche, on ne saurait retenir le montant de 2'000 fr. pour le loyer, mais seulement de 1'400 fr., ce qui permet d'établir un minimum vital de 3'240 francs. Compte tenu de l'ensemble de ce qui précède, une contribution d'entretien de 3'500 fr. par mois permettra à la recourante d'assurer un train de vie conforme à la situation antérieure au divorce. Cette pension lui sera versée jusqu'à ce qu'elle atteigne l'âge de la retraite. On tiendra compte, jusqu'en septembre 2011, des 2'000 fr. versés par l'assurance-chômage et qui seront déduits des 3'500 fr. précités. Rien ne justifie que les pensions allouées le soient au-delà de l'âge de la retraite de la crédirentière, seules les circonstances particulières (profession libérale du débirentier notamment) pouvant impliquer qu'il en soit autrement.</w:t>
      </w:r>
    </w:p>
    <w:p>
      <w:r>
        <w:rPr>
          <w:b/>
        </w:rPr>
        <w:t>E. 5</w:t>
      </w:r>
    </w:p>
    <w:p>
      <w:r>
        <w:t>La recourante a demandé la modification du montant transféré au titre de la prévoyance professionnelle puisque le jugement de divorce n'était pas exécutoire durant la procédure de recours. Toutefois, aucun grief ne porte sur le principe du divorce de sorte que la recourante ne saurait se prévaloir d'une période plus étendue. En outre, l'ordre de transfert des premiers juges correspond à la convention signée par les parties, de sorte que l'on ne saurait reprocher aux premiers juges de s'être écartés de dite convention, dont la recourante ne prétend pas qu'elle serait entachée d'une erreur. Son grief doit donc être rejeté.</w:t>
      </w:r>
    </w:p>
    <w:p>
      <w:r>
        <w:rPr>
          <w:b/>
        </w:rPr>
        <w:t>E. 6</w:t>
      </w:r>
    </w:p>
    <w:p>
      <w:r>
        <w:t>La recourante réclamait une contribution d'entretien de 5'000 fr. par mois à vie et en obtient une de 3'500 francs par mois jusqu'à l'âge de la retraite, alors que le recourant offrait de servir une pension de 1'500 fr. durant deux ans, puis de 700 fr. jusqu'à l'âge de la retraite. Il y a dès lors lieu de compenser les dépens de première instance. Dans la procédure de recours, la recourante obtient une augmentation modeste de la contribution en sa faveur, substantiellement moindre que celle réclamée, alors que le recourant obtient une diminution provisoire de celle-ci. La recourante perd sur les questions de la durée de la contribution et des vices de consentement relatifs à la convention sur les effets accessoires du divorce. Enfin, le recourant obtient gain de cause sur la provision ad litem. Compte tenu de l'ensemble de ces éléments, il convient de compenser les dépens de deuxième instance.</w:t>
      </w:r>
    </w:p>
    <w:p>
      <w:r>
        <w:rPr>
          <w:b/>
        </w:rPr>
        <w:t>E. 7</w:t>
      </w:r>
    </w:p>
    <w:p>
      <w:r>
        <w:t>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5P.31/2004 du 26 avril 2004 c. 2.2). Le fondement de cette prestation - devoir d'assistance (art. 159 al. 3 CC) ou obligation d'entretien (art. 163 CC) - est controversé (cf. sur cette question : TF 5P.346/2005 c. 4.3, in Pra 2006 n° 130 p. 892 et les références; Bräm, Commentaire zurichois, n° 131 ss ad art. 159 CC, avec de nombreuses citations), mais cet aspect n'a pas d'incidence sur les conditions qui président à son octroi; en tout état, selon l'art. 163 al. 1 CC, la loi n'institue plus un devoir général d'entretien à la charge du mari (art. 160 al. 2 aCC; cf. ATF 110 II 116 c. 2a), mais une prise en charge conjointe des besoins de la famille au regard des facultés de chacun des époux (TF 5P.42/2006 du 10 juillet 2007 c. 4). Le droit fédéral prévoit uniquement l'obligation d'effectuer cette avance, qui peut dès lors devoir être remboursée dans le cadre du partage définitif des frais entre les parties, cette répartition relevant toutefois des règles de la procédure cantonale (ATF 66 II 70 c. 3; TF 5C.240/2002 du 31 mars 2003 c. 8, publié in FamPra.ch 2003 p. 728; TF 5A_448/2009 du 25 mai 2010 c. 8.1; TF 5A_784/2008 du 20 novembre 2009 c. 2). Celui qui succombe à l’action doit en principe rembourser l’avance à celui qui l’a fournie (ATF 66 Il 70 précité; Revue Suisse de Jurisprudence [RSJ] 89 (1993), no 18, p. 306). De même, lorsque les dépens sont compensés, le juge doit ordonner la restitution de la provision ad litem, car le refus de restituer reviendrait à répartir inégalement les dépens et il n’y aurait plus de compensation (RSJ 89 (1993), no 18, p. 306; JT 1965 III 122; JT 1963 III 126; Poudret/Haldy/Tappy, op. cit., n. 7.4 ad art. 92 CPC, p. 179). En l'espèce, à titre de provision ad litem, le recourant a avancé les montants de 5'000 fr., selon ordonnance de mesures provisionnelles du 29 août 2007, de 3'000 fr., selon convention conclue le 11 mars 2008 par les parties et ratifiée par le tribunal pour valoir ordonnance de mesures provisionnelles, et de 3'750 francs pour les frais d'expertise de l'épouse, soit une somme de 11'750 fr. pour la première instance. En deuxième instance, le recourant a encore avancé le montant de 4'000 fr., selon ordonnance de mesures provisionnelles rendue le 22 juillet 2010 par le Président de la cour de céans. Les dépens étant compensés pour les deux instances, il convient d'ordonner le remboursement de ces montants par F.________, le recours en réforme de H.________ étant admis sur ce point.</w:t>
      </w:r>
    </w:p>
    <w:p>
      <w:r>
        <w:rPr>
          <w:b/>
        </w:rPr>
        <w:t>E. 8</w:t>
      </w:r>
    </w:p>
    <w:p>
      <w:r>
        <w:t>En définitive, le recours de chaque partie doit être admis partiellement et le dispositif du jugement réformé en ce sens que le recourant contribuera à l'entretien de la recourante par le régulier versement d'une pension mensuelle, payable d'avance le premier de chaque mois, directement en mains de l'intéressée dès jugement définitif et exécutoire de 1'500 fr. jusqu'au mois de septembre 2011, puis de 3'500 fr. depuis lors et jusqu'à ce que la crédirentière ait atteint l'âge de la retraite (ch. IV) et complété en ce sens que la recourante doit restituer au recourant le montant des provisions ad litem par 11'750 fr. (ch. VIIbis nouveau). Le jugement est confirmé pour le surplus. Les frais de deuxième instance sont fixés à 2'000 fr. pour chaque partie (art. 233 TFJC [tarif des frais judiciaires en matière civile du 4 décembre 1984; RSV 270.11.5]). Les dépens de deuxième instance sont compensés. La recourante doit restituer au recourant le montant de la provision ad litem obtenue en deuxième instance, par 4'000 francs. Par ces motifs, la Chambre des recours du Tribunal cantonal, statuant à huis clos, prononce : I. Le recours de F.________ et le recours de H.________ sont partiellement admis. II. Le jugement entrepris est réformé comme il suit au chiffre IV de son dispositif et par l'ajout à son dispositif d'un chiffre VII bis : IV. Dit que H.________ contribuera à l'entretien de F.________ par le régulier versement d'une pension mensuelle, payable d'avance le premier de chaque mois, directement en mains de l'intéressée dès jugement définitif et exécutoire de 1'500 fr. (mille cinq cents francs) jusqu'au mois de septembre 2011, puis de 3'500 fr. (trois mille cinq cents francs) depuis lors et jusqu'à ce que la crédirentière ait atteint l'âge de la retraite. VII bis. Dit que F.________ doit restituer à H.________ le montant des provisions ad litem, par 11'750 fr. (onze mille sept cent cinquante francs). Le jugement est confirmé pour le surplus. III. Les frais de deuxième instance sont fixés à 2'000 fr. (deux mille francs) pour la recourante F.________ et à 2'000 fr. (deux mille francs) pour le recourant H.________. IV. Les dépens de deuxième instance sont compensés. V. F.________ doit restituer à H.________ le montant de la provision ad litem obtenue en deuxième instance, par 4'000 fr. (quatre mille francs). VI. L'arrêt motivé est exécutoire. Le président :               Le greffier : Du 4 novembre 2010 Le dispositif de l'arrêt qui précède est communiqué par écrit aux intéressés. Le greffier : Du L'arrêt qui précède, dont la rédaction a été approuvée à huis clos, est notifié en expédition complète, par l'envoi de photocopies, à : ‑ Me Christophe Misteli (pour F.________), ‑ Me Marcel Heider (pour 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