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409 vom 2. August 2011</w:t>
      </w:r>
    </w:p>
    <w:p>
      <w:r>
        <w:t>VD Tribunal cantonal, 2011-08-02, FR</w:t>
      </w:r>
    </w:p>
    <w:p>
      <w:r>
        <w:rPr>
          <w:b/>
        </w:rPr>
        <w:t xml:space="preserve">Quelle: </w:t>
      </w:r>
      <w:r>
        <w:t>https://mcp.opencaselaw.ch/entscheid/vd_findinfo_HC___2011___409</w:t>
      </w:r>
    </w:p>
    <w:p>
      <w:r>
        <w:t>FR: VD_FINDINFO HC / 2011 / 409 du 2 août 2011</w:t>
      </w:r>
    </w:p>
    <w:p>
      <w:r>
        <w:t>IT: VD_FINDINFO HC / 2011 / 409 del 2 agosto 2011</w:t>
      </w:r>
    </w:p>
    <w:p>
      <w:pPr>
        <w:pStyle w:val="Heading2"/>
      </w:pPr>
      <w:r>
        <w:t>Regeste</w:t>
      </w:r>
    </w:p>
    <w:p>
      <w:r>
        <w:t>MESURE PROVISIONNELLE, SÛRETÉS, BAIL À LOYER | 261 CPC (CH)</w:t>
      </w:r>
    </w:p>
    <w:p>
      <w:pPr>
        <w:pStyle w:val="Heading2"/>
      </w:pPr>
      <w:r>
        <w:t>Erwägungen</w:t>
      </w:r>
    </w:p>
    <w:p>
      <w:r>
        <w:rPr>
          <w:b/>
        </w:rPr>
        <w:t>E. 1</w:t>
      </w:r>
    </w:p>
    <w:p>
      <w:r>
        <w:t>La décision attaquée a été rendue le 30 mai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(art. 59 al. 1 let. a CPC) et portant sur des conclusions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ibid., p. 135). Le large pouvoir d'examen en fait en droit ainsi défini s'applique même si la décision attaquée est de nature provisionnelle (Tappy, ibid., p. 136).</w:t>
      </w:r>
    </w:p>
    <w:p>
      <w:r>
        <w:rPr>
          <w:b/>
        </w:rPr>
        <w:t>E. 3</w:t>
      </w:r>
    </w:p>
    <w:p>
      <w:r>
        <w:t>L'appelante soutient que le premier juge l'a considérée comme indigente en lui octroyant l'assistance judiciaire, et que, compte tenu de son statut de rentière AVS, de son état de santé et des deux procédures l'opposant à l'intimée actuellement pendantes devant le Tribunal des baux, la condition d'un préjudice difficilement réparable est réalisée. En l'espèce, la requête de mesures provisionnelles tend à la libération partielle d'une garantie de loyer que l'appelante a constituée en faveur de l'intimée dans le cadre du contrat de bail les liant. Elle correspond à l'objet du litige au fond et constitue de ce fait une mesure d'exécution anticipée provisoire ayant pour objet une obligation de faire. Son caractère est en l'espèce durable, voire définitif parce que l'objet du litige n'aura plus d'intérêt au-delà du stade des mesures provisionnelles (Hohl, Procédure civile, t. II, 2010, n° 1830). Comme l'a relevé le premier juge, il convient dès lors de se montrer particulièrement exigeant lors de l'examen des conditions d'admission de la requête (Hohl, op. cit., n° 1830 et 1846). En d'autres termes, la demande au fond doit être assortie de grandes chances de succès (ATF 131 III 473 c. 3.2).</w:t>
      </w:r>
    </w:p>
    <w:p>
      <w:r>
        <w:rPr>
          <w:b/>
        </w:rPr>
        <w:t>E. 4</w:t>
      </w:r>
    </w:p>
    <w:p>
      <w:r>
        <w:t>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cas présent, la première condition cumulative posée par l'art. 261 CPC n'est pas litigieuse, le premier juge ayant admis que l'appelante avait rendu hautement vraisemblable le bien-fondé de son droit à obtenir la restitution de la partie des sûretés dépassant les trois mois de loyer net. En revanche, la condition du préjudice difficilement réparable n'est pas remplie. En effet, la situation précaire dans laquelle se trouve l'appelante ne fait pas naître un préjudice difficilement réparable. Si sa situation financière n'est guère florissante, elle n'est pas pour autant catastrophique, de sorte que l'on ne peut admettre que l'appelante aurait un besoin urgent de cet argent. Au reste, elle n'entreprend pas de le démontrer. Il en est de même quant à sa situation médicale, l'appelante ne démontrant pas un rapport de cause à effet entre la restitution de la partie de la garantie locative et l'amélioration de son état de santé.</w:t>
      </w:r>
    </w:p>
    <w:p>
      <w:r>
        <w:rPr>
          <w:b/>
        </w:rPr>
        <w:t>E. 5</w:t>
      </w:r>
    </w:p>
    <w:p>
      <w:r>
        <w:t>Au vu de ce qui précède, l'appel doit être rejeté en vertu de l'art. 312 al. 1 CPC et l'ordonnance confirmée. La demande d'assistance judiciaire de l'appelante est rejetée, l'appel étant infondé et d'emblée dépourvu de toutes chances de succès. Dès lors que le bénéfice de l'assistance judiciaire n'a pas été accordé à l'appelante, l'arrêt est rendu sans frais pour tenir compte de sa situation financière (art. 6 al. 3 et 65 al. 2 TFJC [tarif du 28 septembre 2010 des frais judiciaires civils; RSV 270.11.5]). Il n'est pas alloué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est rejetée. IV.              L'arrêt est rendu sans frais. V.              Il n'est pas alloué de dépens de deuxième instance. VI.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Anne-Rebecca Bula (pour C.________), ‑ M. Thierry Zumbach (pour R.________ SA). Le juge délégué de la Cour d’appel civile considère que la valeur litigieuse est de 16'953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