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393 vom 20. Juni 2011</w:t>
      </w:r>
    </w:p>
    <w:p>
      <w:r>
        <w:t>VD Tribunal cantonal, 2011-06-20, FR</w:t>
      </w:r>
    </w:p>
    <w:p>
      <w:r>
        <w:rPr>
          <w:b/>
        </w:rPr>
        <w:t xml:space="preserve">Quelle: </w:t>
      </w:r>
      <w:r>
        <w:t>https://mcp.opencaselaw.ch/entscheid/vd_findinfo_HC___2011___393</w:t>
      </w:r>
    </w:p>
    <w:p>
      <w:r>
        <w:t>FR: VD_FINDINFO HC / 2011 / 393 du 20 juin 2011</w:t>
      </w:r>
    </w:p>
    <w:p>
      <w:r>
        <w:t>IT: VD_FINDINFO HC / 2011 / 393 del 20 giugno 2011</w:t>
      </w:r>
    </w:p>
    <w:p>
      <w:pPr>
        <w:pStyle w:val="Heading2"/>
      </w:pPr>
      <w:r>
        <w:t>Regeste</w:t>
      </w:r>
    </w:p>
    <w:p>
      <w:r>
        <w:t>OBLIGATION D'ENTRETIEN, CONJOINT, ENFANT, MESURE PROVISIONNELLE, DIVORCE | 176 al. 1 ch. 1 CC, 176 al. 3 CC, 176 CC</w:t>
      </w:r>
    </w:p>
    <w:p>
      <w:pPr>
        <w:pStyle w:val="Heading2"/>
      </w:pPr>
      <w:r>
        <w:t>Erwägungen</w:t>
      </w:r>
    </w:p>
    <w:p>
      <w:r>
        <w:rPr>
          <w:b/>
        </w:rPr>
        <w:t>E. 1</w:t>
      </w:r>
    </w:p>
    <w:p>
      <w:r>
        <w:t>a) L’ordonnance attaquée a été rendue le 8 avril 2011, de sorte que les voies de droit sont régies par le Code de procédure civile suisse du 19 décembre 2008 (ci-après: CPC ; RS 272), entré en vigueur le 1 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(Tappy, op. cit., pp. 136-137). Dès lors que la contribution d'entretien en cause concerne non seulement l’intimée, mais également les enfants mineurs de l’appelant impliquant l’application de la maxime inquisitoire, le juge a le devoir d’éclaircir les faits et de prendre en considération tous les faits d’office, les parties devant néanmoins collaborer à la procédure (Hohl, Procédure civile, t. II, 2 e éd., 2010, n. 1168, p. 218). En appel, les novas sont soumis au régime ordinaire, les parties pouvant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sur le tout : JT 2011 III 43). Les pièces nouvelles produites par l'appelant en deuxième instance sont ainsi recevables. Il ressort de la pièce 208, à savoir la police d'assurance-maladie de l'appelant pour l'année 2010, que sa prime d'assurance obligatoire est de 414 fr. 20 par mois, à laquelle s'ajoutent les assurances complémentaires, soit un total dû de 685 fr. 70 par mois.</w:t>
      </w:r>
    </w:p>
    <w:p>
      <w:r>
        <w:rPr>
          <w:b/>
        </w:rPr>
        <w:t>E. 3</w:t>
      </w:r>
    </w:p>
    <w:p>
      <w:r>
        <w:t>a/aa) En ce qui concerne la contribution d'entretien, le premier juge a correctement appliqué le droit suisse, en se basant sur les art. 4 al. 1, 8 al. 1 et 15 de la Convention de La Haye du 2 octobre 1973 sur la loi applicable aux obligations alimentaires (RS 0.211.213.01). C'est ainsi à juste titre que l'appelant ne conteste pas ce point. bb) L’appelant critique en revanche les montants retenus par le président du tribunal d'arrondissement dans le calcul de son minimum vital pour ses frais de loyer, estimés à 1'800 fr., et d’assurance-maladie obligatoire, évalués à 400 francs. Selon lui, compte tenu de ses frais de loyer de 4'000 fr. et de sa prime d'assurance-maladie de 685 fr. 70, ses charges mensuelles s'élèvent à 7'085 fr. 70, laissant ainsi un avoir disponible de 570 fr., montant auquel la contribution d'entretien devrait être fixée. b) Conformément à l'art. 176 al. 1 ch. 1 CC (Code civil suisse du 10 décembre 1907 ; RS 210), applicable par analogie aux mesures provisoires, le juge fixe la contribution pécuniaire à verser par l'une des parties à l'autre. Le montant des aliments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JT 1991 I 334 ; TF 5A_46/2009 du 22 mai 2009 c. 4 ; TF 5A_515/2008 du 1 er décembre 2008 c. 2.1). c/aa) Les frais de logement dont il faut tenir compte sont en principe des frais effectifs ou raisonnables compte tenu d’un certain nombre de critères (Bastons Bulletti, L’entretien après divorce : méthodes de calcul, montant, durée et limites, in SJ 2007 II 77, spéc. p. 85). Est déterminant le coût d’un logement raisonnable eu égard notamment aux moyens de l’intéressé, ainsi qu’à ses besoins et à sa situation économique concrète. En l'espèce, l'appelant est au bénéfice d'indemnités de l'assurance-chômage. Selon la réglementation prévalant actuellement, la garde sur les enfants est confiée à l'intimée et l'appelant exerce son droit de visite en se rendant deux fois par mois en Italie. Dans ces circonstances, un appartement de 6,5 pièces n'apparaît pas répondre à ses besoins ni à sa situation financière actuelle. A l'instar du premier juge, il y a lieu de considérer qu'un montant de 1'800 fr. doit être retenu dans le calcul du minimum vital de l'appelant comme frais de loyer raisonnable. bb) En ce qui concerne les charges assumées pour l'assurance-maladie, il ressort de la police de l'appelant pour l'année 2010 – pièce recevable en appel comme relevé ci-avant – que sa prime mensuelle d'assurance obligatoire est de 414 fr. 20. Dès lors que seule la prime d'assurance de base obligatoire entre, en règle générale, dans le calcul du minimum vital (Bastons Bulletti, op. cit., spéc. p. 86, note 49 et les références ; TF 5A_58/2011 du 6 juin 2011 c. 3.3.1), un montant de 400 fr. doit être retenu en l'espèce au titre de frais d'assurance-maladie. cc) Le minimum vital élargi de l’appelant est donc le suivant : - Minimum vital pour personne seule 1'200 fr. - Frais d’exercice du droit de visite 1'200 fr. - Loyer raisonnable 1’800 fr. - Prime d’assurance-maladie obligatoire 400 fr. Total 4'600 francs. Ainsi, après prélèvement de ce minimum vital sur les indemnités de chômage de 7'670 fr. 90 que perçoit l'appelant chaque mois, le montant disponible s'élève à quelque 3'070 francs. Il convient en conséquence de fixer à 3'000 fr. la contribution d’entretien mensuelle due par le requérant, dès le 1 er février 2011. Pour les motifs convaincants exposés par le premier juge (cf. ordonnance, p. 29), il n'y a pas lieu de retenir, comme le soutient l'appelant, le 1 er avril 2010 comme dies a quo du versement de cette pension.</w:t>
      </w:r>
    </w:p>
    <w:p>
      <w:r>
        <w:rPr>
          <w:b/>
        </w:rPr>
        <w:t>E. 4</w:t>
      </w:r>
    </w:p>
    <w:p>
      <w:r>
        <w:t>En conclusion, l'appel doit être rejeté, en application de l'art. 312 al. 1 CPC, et l'ordonnance confirmée. Vu le sort de l'appel, les frais judiciaires de deuxième instance, arrêtés à 600 fr. (art. 65 al. 2 TFJC [tarif du 28 septembre 2010 des frais judiciaires civils ; RSV 270.11.5]), doivent être mis à la charge de l'appelant (art. 106 al. 1 CPC). Il n’y a pas lieu d’allouer de dépens à l’intimée, qui n’a pas été invitée à déposer une réponse.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A.X.________. IV. L'arrêt motivé est exécutoire. Le juge délégué : La greffière : Du 21 juin 2011 Le dispositif de l'arrêt qui précède est communiqué par écrit aux intéressés. La greffière : Du L'arrêt qui précède, dont la rédaction a été approuvée à huis clos, est notifié en expédition complète, par l'envoi de photocopies, à : ‑ Me Paul Marville (pour A.X.________), ‑ Me Christine Sattiva Spring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