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391 vom 22. Juli 2011</w:t>
      </w:r>
    </w:p>
    <w:p>
      <w:r>
        <w:t>VD Tribunal cantonal, 2011-07-22, FR</w:t>
      </w:r>
    </w:p>
    <w:p>
      <w:r>
        <w:rPr>
          <w:b/>
        </w:rPr>
        <w:t xml:space="preserve">Quelle: </w:t>
      </w:r>
      <w:r>
        <w:t>https://mcp.opencaselaw.ch/entscheid/vd_findinfo_HC___2011___391</w:t>
      </w:r>
    </w:p>
    <w:p>
      <w:r>
        <w:t>FR: VD_FINDINFO HC / 2011 / 391 du 22 juillet 2011</w:t>
      </w:r>
    </w:p>
    <w:p>
      <w:r>
        <w:t>IT: VD_FINDINFO HC / 2011 / 391 del 22 luglio 2011</w:t>
      </w:r>
    </w:p>
    <w:p>
      <w:pPr>
        <w:pStyle w:val="Heading2"/>
      </w:pPr>
      <w:r>
        <w:t>Regeste</w:t>
      </w:r>
    </w:p>
    <w:p>
      <w:r>
        <w:t>EXPULSION DE LOCATAIRE, NOTIFICATION PAR HUISSIER, CITATION À COMPARAÎTRE, RÉSILIATION, BAIL À LOYER | 257d CO, 138 CPC (CH)</w:t>
      </w:r>
    </w:p>
    <w:p>
      <w:pPr>
        <w:pStyle w:val="Heading2"/>
      </w:pPr>
      <w:r>
        <w:t>Erwägungen</w:t>
      </w:r>
    </w:p>
    <w:p>
      <w:r>
        <w:rPr>
          <w:b/>
        </w:rPr>
        <w:t>E. 1</w:t>
      </w:r>
    </w:p>
    <w:p>
      <w:r>
        <w:t>a) L’ordonnance entreprise a été rendue le 30 mai 2011, de sorte que les voies de droit sont régies par le CPC (Code de procédure civile suisse du 19 décembre 2008, RS 272), entré en vigueur le 1 er janvier 2011 (art. 405 al. 1 CPC). b) Le litige porte sur le bien-fondé d'une ordonnance d'expulsion rendue pour défaut de paiement de loyers. Pour déterminer quelle voie de droit, de l'appel ou du recours, est ouverte, il y a lieu de se fonder sur la valeur litigieuse, calculée selon le droit fédéral, l’appel étant ouvert, s’agissant d’affaires patrimoniales, pour autant que cette valeur soit supérieure à 10'000 fr. (art. 308 al. 2 CPC). En l’occurrence,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 cf. TF 4A_634/2009 du 3 mars 2010 c. 1.1 ; SJ 2001 I 17 c. 1a ; ATF 119 II 147 c. 1 ; Lachat, Le bail à loyer, Zurich 2008, pp. 749 ss). En l’espèce, le loyer mensuel s’élève, acompte pour frais accessoires compris, à 760 fr. et l’appelant a conclu, certes implicitement, au maintien du bail qui se renouvelle tacitement de six mois en six mois, sauf avis de résiliation par l’une des parties. La valeur litigieuse est ainsi supérieure à 10'000 fr., ce qui ouvre la voie de l’appel. c)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L’appel, interjeté en temps utile par une partie qui y a intérêt,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jouit d’un plein pouvoir d’examen. Elle peut revoir librement l’appréciation des faits sur la base des preuves administrées en première instance (JT 2011 III 43 ; Tappy, Les voies de droit du nouveau Code de procédure civile, in JT 2010 III 115, spéc. p. 134 ; Hohl, Procédure civile, tome II, 2 e éd., Berne 2010, n. 2399, p. 435). En l’espèce, l’état de fait de l’ordonnance entreprise a été complété sur la base des pièces au dossier de première instance.</w:t>
      </w:r>
    </w:p>
    <w:p>
      <w:r>
        <w:rPr>
          <w:b/>
        </w:rPr>
        <w:t>E. 3</w:t>
      </w:r>
    </w:p>
    <w:p>
      <w:r>
        <w:t>L’appelant se plaint d’abord du fait que la décision a été rendue en son absence. Selon l’art. 138 al. 1 CPC, les citations sont notifiées par envoi recommandé ou d’une autre manière contre accusé de réception. La notification par voie d’huissier peut constituer un mode de notification contre accusé de réception au sens de cette disposition ; son échec n’entraîne pourtant une fiction de notification que dans l’hypothèse du refus de réception (art. 138 al. 3 let. b CPC ; Bohnet, La notification en procédure civile suisse, in Revue de droit suisse 2010 I p. 319). Selon l’art. 138 al. 3 let. a CPC, l’acte est réputé notifié, en cas d’envoi recommandé, lorsque celui-ci n’a pas été retiré, à l’expiration d’un délai de sept jours à compter de l’échec de la remise, si le destinataire devait s’attendre à recevoir la notification. A teneur de l’art. 141 CPC, les citations sont toutefois notifiées par voie édictale, notamment lorsque le lieu de séjour du destinataire est inconnu ou n’a pu être déterminé en dépit de recherches qui peuvent raisonnablement être exigées ou lorsqu’une notification n’est pas possible ou présente des difficultés extraordinaires, dans quel cas elles sont réputées notifiées le jour de la publication. En l’espèce, il ressort du dossier qu’ensuite de l’échec de la notification de la citation à comparaître par voie postale, le juge de paix a cité l’appelant par voie édictale et par voie d’huissier, le 2 mai 2011, pour l’audience requise par la partie bailleresse, fixée au 12 mai 2011. Si la fiction de notification par voie d’huissier n’est pas opérante, celle des deux autres modes de notification l’est. En particulier, l’appelant, qui était en retard dans le paiement de son loyer et dont le bail avait été résilié en application de l’art. 257d CO devait s’attendre à ce que le bailleur dépose une requête d’expulsion à son encontre. Il en résulte qu’il a été régulièrement assigné à l’audience fixée par le juge de paix et que son absence lui est opposable. Mal fondé, le moyen doit être écarté.</w:t>
      </w:r>
    </w:p>
    <w:p>
      <w:r>
        <w:rPr>
          <w:b/>
        </w:rPr>
        <w:t>E. 4</w:t>
      </w:r>
    </w:p>
    <w:p>
      <w:r>
        <w:t>L’appelant allègue ensuite s’être acquitté, le 5 mai 2011, des arriérés de loyers dus et offre de verser trois loyers d’avance afin de récupérer son bail et démontrer sa bonne foi. Il dit être dans l’impossibilité de trouver un autre appartement à brève échéance et risquer de se retrouver dans la rue.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 les baux d’habitation ou de locaux commerciaux peuvent être résiliés moyennant un délai de congé minimum de trente jours (art. 257d al. 2 CO). La jurisprudence a précisé que, lorsque le locataire n’avait pas réglé l’arriéré réclamé dans le délai comminatoire prévu à l’art. 257d al. 1 CO, il était en demeure et devait subir les conséquences juridiques de l’alinéa 2 de cette disposition, savoir la résiliation du bail moyennant un délai de congé de trente jours (ATF 127 II 548 c. 4), cela même si l’arriéré a finalement été payé (TF, arrêt du 27 février 1997 in Cahiers du Bail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4C.74/2006 du 12 mai 2006 c. 3.2.1 ; Lachat, Le bail à loyer, 2 e éd., Zurich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 ferme du 18 mai 1955) que, sauf cas particulier, un délai de libération des locaux de quinze à vingt jours était admissible (Guignard, in Procédures spéciales vaudoises, Lausanne 2008, n. 2 ad art. 17 LPEBL, p. 196 et les réf. citées). En l’espèce, l’appelant ne conteste pas avoir été en retard dans le paiement des loyers réclamés. Le délai de trente jours imparti par la sommation du 15 novembre 2010 a commencé à courir au plus tard le dernier jour de l’échéance du délai de garde postal de sept jours, soit dès le 22 novembre 2011 (ATF 119 Il 147, JT 1994 I 205 ; Lachat, op. cit., p. 667; SVIT, Das schweizerische Mietrecht, 3 e éd., Zurich 2008, n. 28 ad art. 257d CO, pp. 134-135). Ce délai est arrivé à échéance le 22 décembre 2010 et l’appelant n’a pas établi avoir réglé l’arriéré en cause à cette date. Au contraire, il allègue dans son recours l’avoir réglé le 5 mai 2011.  L’art. 257d CO donnait dès lors à l’intimée le droit de résilier le bail, moyennant un délai de trente jours, ce qu’elle a fait le 17 janvier 2011, pour le 28 février 2011, et de requérir l’expulsion de son locataire. Vu la jurisprudence susmentionnée, les conséquences pour l’appelant résultant de la résiliation du bail ne permettent plus de faire obstacle au droit conféré au bailleur par l’art. 257d CO. Il n’est en outre plus possible d’examiner si le congé litigieux est abusif au sens des art. 271 ss CO, dès lors que l’appelant ne l’a pas contesté dans le délai de l’art. 273 al. 1 CO, ce qui a pour conséquence qu’il est déchu du droit de soulever ce moyen (cf. ATF 133 I 175 c. 3.3.4, JT 2008 I 314). Mal fondé, le moyen doit être rejeté.</w:t>
      </w:r>
    </w:p>
    <w:p>
      <w:r>
        <w:rPr>
          <w:b/>
        </w:rPr>
        <w:t>E. 5</w:t>
      </w:r>
    </w:p>
    <w:p>
      <w:r>
        <w:t>En définitive, l’appel doit être rejeté, en application de l’art. 312 al. 1 CPC, et l’ordonnance confirmée. Vu l’effet suspensif accordé à l’appel de par la loi (art. 315 al. 1 CPC), la cause doit être renvoyée au premier juge afin qu’il fixe à l’appelant, une fois les considérants écrits du présent arrêt envoyés pour notification aux parties, un nouveau délai pour libérer les locaux en cause. Les frais judiciaires de deuxième instance, arrêtés à 100 fr. (art. 62 al. 1 et 3 TFJC [Tarif du 28 septembre 2010 des frais judiciaires civils, RSV 270.11.5]), sont mis à la charge de l’appelant. Il n’y a pas lieu à allocation de dépens, la partie adverse n’ayant pas été invitée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