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39 vom 8. Dezember 2010</w:t>
      </w:r>
    </w:p>
    <w:p>
      <w:r>
        <w:t>VD Tribunal cantonal, 2010-12-08, FR</w:t>
      </w:r>
    </w:p>
    <w:p>
      <w:r>
        <w:rPr>
          <w:b/>
        </w:rPr>
        <w:t xml:space="preserve">Quelle: </w:t>
      </w:r>
      <w:r>
        <w:t>https://mcp.opencaselaw.ch/entscheid/vd_findinfo_HC___2011___39</w:t>
      </w:r>
    </w:p>
    <w:p>
      <w:r>
        <w:t>FR: VD_FINDINFO HC / 2011 / 39 du 8 décembre 2010</w:t>
      </w:r>
    </w:p>
    <w:p>
      <w:r>
        <w:t>IT: VD_FINDINFO HC / 2011 / 39 del 8 dicembre 2010</w:t>
      </w:r>
    </w:p>
    <w:p>
      <w:pPr>
        <w:pStyle w:val="Heading2"/>
      </w:pPr>
      <w:r>
        <w:t>Regeste</w:t>
      </w:r>
    </w:p>
    <w:p>
      <w:r>
        <w:t>RELIEF | 404 al. 1 CPP, 411 let. i CPP, 420 let. d CPP</w:t>
      </w:r>
    </w:p>
    <w:p>
      <w:pPr>
        <w:pStyle w:val="Heading2"/>
      </w:pPr>
      <w:r>
        <w:t>Erwägungen</w:t>
      </w:r>
    </w:p>
    <w:p>
      <w:r>
        <w:rPr>
          <w:b/>
        </w:rPr>
        <w:t>E. 1</w:t>
      </w:r>
    </w:p>
    <w:p>
      <w:r>
        <w:t>La décision par laquelle le président rejette ou déclare irrecevable une demande de relief en application de l’art. 406 al. 1 CPP est susceptible tant d’un recours en réforme séparé pour fausse application de la loi ou abus du pouvoir d’appréciation, fondé sur l’art. 420 let. d CPP, que d’un recours en nullité fondé sur l’art. 411 CPP. En effet, un recours en nullité contre une décision postérieure à un jugement est ouvert pour toutes les causes énumérées à l'article 411 CPP (JT 2000 III 120; Bovay/Dupuis/Monnier/Moreillon/Piguet, Procédure pénale vaudoise, Code annoté, 3e éd., Lausanne 2008, n. 4 ad art. 406 CPP; cf. aussi CCASS, 28 octobre 1998, n° 385; JT 1992 III 124; JT 1991 III 15). Toutefois, les moyens soulevés doivent concerner la décision attaquée (CCASS, 5 juin 2007, n° 329). En l'espèce, les conclusions du recours sont tant en nullité qu'en réforme. Elles portent sur le jugement attaqué. Les unes et les autres sont recevables.</w:t>
      </w:r>
    </w:p>
    <w:p>
      <w:r>
        <w:rPr>
          <w:b/>
        </w:rPr>
        <w:t>E. 2</w:t>
      </w:r>
    </w:p>
    <w:p>
      <w:r>
        <w:t>L'état de fait du jugement doit être complété d'office au vu du dossier (art. 433a al. 1 CPP). Le recourant a effectué 111 jours de détention préventive pour les besoins de l'enquête, soit du 31 décembre 2004 au 20 avril 2005. Conformément à l'art. 104 CPP, un défenseur lui avait été désigné. Ce défenseur d'office s'était présenté, seul, aux débats du 11 septembre 2006 du Tribunal correctionnel de l’arrondissement de l'Est vaudois. Le tribunal, n'ayant pas de raison de croire que l'absence de l'accusé était due à un motif de force majeure, a condamné ce dernier à la peine de trois ans d'emprisonnement, sous déduction de la détention préventive. Dans la présente procédure, le recourant n'excipe d'aucun motif de force majeure pour justifier son défaut à l'audience de jugement.</w:t>
      </w:r>
    </w:p>
    <w:p>
      <w:r>
        <w:rPr>
          <w:b/>
        </w:rPr>
        <w:t>E. 3</w:t>
      </w:r>
    </w:p>
    <w:p>
      <w:r>
        <w:t>Sous l'angle de la nullité, le recourant se prévaut de l'art. 411 let. i CPP. Il considère qu'il existe un doute quant à la notification du jugement du 11 septembre 2006.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Le recours à la Cour de cassation pénale du Tribunal cantonal en procédure vaudoise, in JT 1996 III 66,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op. cit.,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Besse-Matile/Abravanel, Aperçu de jurisprudence sur les voies de recours à la Cour de cassation pénale du Tribunal cantonal vaudois, in JT 1989 III 98, p. 104 et les réf. cit; Bersier, op. cit., ibid.).</w:t>
      </w:r>
    </w:p>
    <w:p>
      <w:r>
        <w:rPr>
          <w:b/>
        </w:rPr>
        <w:t>E. 4</w:t>
      </w:r>
    </w:p>
    <w:p>
      <w:r>
        <w:t>Le tribunal correctionnel a étayé les motifs de sa conviction quant aux circonstances de la notification du jugement du 11 septembre 2006. Il suffit d'y renvoyer. Selon les premiers juges, le témoignage de B.________ établit que le pli avait été remis en main propre au recourant par sa compagne sitôt après avoir été reçu, ce en date du jeudi 14 septembre 2006. La cour a estimé qu'il n'y avait pas de raison de douter du témoignage en question, tenu pour clair et spontané. A ceci s'ajoute que le recourant ne conteste pas avoir reçu le jugement, communiqué à l'adresse qu'il avait lui-même donnée à l'autorité. Bien plutôt, il se limite à faire valoir qu'il ne s'en souvient pas. Qui plus est, B.________ a été entendue à l'audience à la requête de G.________ et elle devait comparaître comme témoin de moralité. B.________ ne peut pas avoir témoigné partialement. D'ailleurs, le recourant ne le soutient pas. Dans ces circonstances, les premiers juges n'ont pas versé dans l'arbitraire en ajoutant foi à la déposition de ce témoin. Le recours en nullité doit donc être rejeté.</w:t>
      </w:r>
    </w:p>
    <w:p>
      <w:r>
        <w:rPr>
          <w:b/>
        </w:rPr>
        <w:t>E. 5</w:t>
      </w:r>
    </w:p>
    <w:p>
      <w:r>
        <w:t>Sous l'angle de la réforme, le recourant fait valoir que le jugement viole les art. 6 CEDH et 29 al. 2 Cst. Il soutient qu'en rejetant sa requête de relief, les premiers juges lui ont implicitement refusé le droit fondamental d'être jugé en sa présence, soit en contradictoire, faisant ainsi fi de son droit d'être entendu. Pour autant qu'il n'y ait pas déjà été satisfait par l'assignation à l'audience du 11 septembre 2006, l'autorité de première instance a pourvu, lors de la notification du jugement par défaut, aux exigences déduites de l'ordre constitutionnel dont se prévaut le recourant. En effet, cette décision mentionnait le droit de recours et de relief de la partie conformément aux réquisits légaux. Soumettre la demande de relief à des exigences procédurales, s'agissant en particulier du délai applicable au dépôt de la requête, ne constitue que l'aménagement du droit à un procès équitable et ne viole ainsi aucun principe relevant de l'ordre constitutionnel.</w:t>
      </w:r>
    </w:p>
    <w:p>
      <w:r>
        <w:rPr>
          <w:b/>
        </w:rPr>
        <w:t>E. 6</w:t>
      </w:r>
    </w:p>
    <w:p>
      <w:r>
        <w:t>Au surplus, le recourant fait valoir qu'il se trouvait dans l'erreur lorsque le jugement du 11 septembre 2006 a été rendu. Il aurait alors cru de manière erronée que la procédure pénale dirigée contre lui avait pris fin au moment de sa sortie de détention préventive, le 20 avril 2005. D'abord, l'assignation à l'audience était, à elle seule, propre à le détromper à cet égard. Ensuite, son défenseur d'office, dont le mandat n'était venu à terme qu'avec le jugement par défaut, pouvait le renseigner quant à ses droits, tout comme il aurait pu encore le faire une fois le jugement notifié au domicile avoué de la partie. Le recourant ne peut dès lors raisonnablement soutenir qu'il se trouvait dans l'erreur.</w:t>
      </w:r>
    </w:p>
    <w:p>
      <w:r>
        <w:rPr>
          <w:b/>
        </w:rPr>
        <w:t>E. 7</w:t>
      </w:r>
    </w:p>
    <w:p>
      <w:r>
        <w:t>Il découle de l'art. 120 al. 3 CPP, applicable par analogie par renvoi de l'art. 402 al. 3 CPP, qu'un acte judiciaire est réputé notifié le jour où il est remis à son destinataire ou à une personne faisant ménage commun avec ledit destinataire. A défaut de ménage commun, la remise de l'acte à un tiers est irrégulière (CCASS, T., 22 mars 1990). En vertu des conditions générales de la Poste Suisse, toutes les personnes présentes au même domicile ont qualité pour prendre livraison des envois (art. 2.3.5. des Conditions générales de la Poste Suisse, inchangées à cet égard depuis leur entrée en vigueur). Il s'ensuit que le jugement du 11 septembre 2006 a validement été notifié au recourant en main de B.________, qui faisait alors ménage commun avec lui. Le délai de relief de 20 jours prévu par l'art. 404 al. 1 CPP, s'agissant d'une notification parfaite en Suisse, était dès lors échu lors du dépôt de la demande du 25 octobre 2010. Tardive à défaut de tout empêchement pour motif de force majeure, cette requête était, partant, irrecevable. Le jugement entrepris procède donc d'une correcte application du droit.</w:t>
      </w:r>
    </w:p>
    <w:p>
      <w:r>
        <w:rPr>
          <w:b/>
        </w:rPr>
        <w:t>E. 8</w:t>
      </w:r>
    </w:p>
    <w:p>
      <w:r>
        <w:t>En conclusion, le recours doit être rejeté en application de l'art. 431 al. 2 CPP et le jugement confirmé. Vu l'issue du recours, les frais de deuxième instance, y compris l'indemnité allouée à son défenseur d'office, par 864 fr.,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