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388 vom 22. Juli 2011</w:t>
      </w:r>
    </w:p>
    <w:p>
      <w:r>
        <w:t>VD Tribunal cantonal, 2011-07-22, FR</w:t>
      </w:r>
    </w:p>
    <w:p>
      <w:r>
        <w:rPr>
          <w:b/>
        </w:rPr>
        <w:t xml:space="preserve">Quelle: </w:t>
      </w:r>
      <w:r>
        <w:t>https://mcp.opencaselaw.ch/entscheid/vd_findinfo_HC___2011___388</w:t>
      </w:r>
    </w:p>
    <w:p>
      <w:r>
        <w:t>FR: VD_FINDINFO HC / 2011 / 388 du 22 juillet 2011</w:t>
      </w:r>
    </w:p>
    <w:p>
      <w:r>
        <w:t>IT: VD_FINDINFO HC / 2011 / 388 del 22 luglio 2011</w:t>
      </w:r>
    </w:p>
    <w:p>
      <w:pPr>
        <w:pStyle w:val="Heading2"/>
      </w:pPr>
      <w:r>
        <w:t>Regeste</w:t>
      </w:r>
    </w:p>
    <w:p>
      <w:r>
        <w:t>OBLIGATION D'ENTRETIEN, CONJOINT | 176 al. 1 ch. 1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b)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(Tappy, ibid., p. 135). Le large pouvoir d'examen en fait et en droit ainsi défini s'applique même si la décision attaquée est de nature provisionnelle (JT 2011 III 43; Tappy, ibid., p. 136).</w:t>
      </w:r>
    </w:p>
    <w:p>
      <w:r>
        <w:rPr>
          <w:b/>
        </w:rPr>
        <w:t>E. 3</w:t>
      </w:r>
    </w:p>
    <w:p>
      <w:r>
        <w:t>a) L’appelant fait tout d’abord valoir qu’en application du principe du « clean break » découlant de l’art. 125 CC (Code civil du 10 décembre 1907; RS 210), il est totalement infondé d’accorder une contribution d’entretien à l’épouse qui n'en a du reste jamais bénéficié. En outre, l’intimée pourrait réaliser un revenu supérieur si elle augmentait son taux d’activité à 100%. Elle devrait dès lors se voir imputer un revenu hypothétique supérieur. L’appelant fait enfin valoir que l’intimée recevra prochainement la somme de 30’000 fr. dans le cadre de la liquidation du régime matrimonial, selon la convention conclue par les parties le 17 novembre 2009, de sorte que sa fortune sera augmentée d’autant et pourra servir à son entretien. b)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TF 5A_205/2010 du 12 juillet 2010 c. 4.2.3, publié in FamPra.ch 2010 p. 894). C'est au créancier de la contribution d'entretien qu'il incombe de préciser les dépenses nécessaires à son train de vie et de les rendre vraisemblables (ATF 115 II 424 c. 2 ; TF 5A_732/2007 du 4 avril 2008  c. 2.2). La jurisprudence a en outre précisé que lorsqu'on ne peut plus sérieusement compter sur une reprise de la vie commune même dans le cadre de mesures protectrices, le but de rendre les époux financièrement indépendants gagne en importance et qu'il faut dès lors se référer aux critères applicables à l'entretien après le divorce (TF 5A_710/2009 du 22 février 2010 c. 4.1 et les références citées; TF 5A_205/2010 du 12 juillet 2010 c. 4.2.3, publié in FamPra.ch 2010 p. 894). Dans tous les cas,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w:t>
      </w:r>
    </w:p>
    <w:p>
      <w:r>
        <w:rPr>
          <w:b/>
        </w:rPr>
        <w:t>E. 4</w:t>
      </w:r>
    </w:p>
    <w:p>
      <w:r>
        <w:t>En définitive, l'appel doit être rejeté en application de l'art. 312 al. 1 CPC et l'ordonnance attaquée confirmée. Les frais judiciaires de deuxième instance arrêtés à 600 fr. (art. 65 al. 2 TFJC [tarif des frais judiciaires civils du 28 septembre 2010; RSV 270.11.5]) sont mis à la charge de l'appelant qui succombe. Il  n'y a pas lieu à l'allocation de dépens de deuxième instance, dès lors que l'intimée n'a pas été invitée à se déterminer.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A.C.________. IV.              L'arrêt motivé est exécutoire. Le juge délégué : La greffière : Du 28 juillet 2010 Le dispositif de l'arrêt qui précède est communiqué par écrit aux intéressés. La greffière : Du L'arrêt qui précède, dont la rédaction a été approuvée à huis clos, est notifié en expédition complète, par l'envoi de photocopies, à : ‑ Me Dan Bally (pour A.C.________), ‑ Me Laure Chappaz (pour B.C.________). Le juge délégué de la Cour d’appel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