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383 vom 22. Juli 2011</w:t>
      </w:r>
    </w:p>
    <w:p>
      <w:r>
        <w:t>VD Tribunal cantonal, 2011-07-22, FR</w:t>
      </w:r>
    </w:p>
    <w:p>
      <w:r>
        <w:rPr>
          <w:b/>
        </w:rPr>
        <w:t xml:space="preserve">Quelle: </w:t>
      </w:r>
      <w:r>
        <w:t>https://mcp.opencaselaw.ch/entscheid/vd_findinfo_HC___2011___383</w:t>
      </w:r>
    </w:p>
    <w:p>
      <w:r>
        <w:t>FR: VD_FINDINFO HC / 2011 / 383 du 22 juillet 2011</w:t>
      </w:r>
    </w:p>
    <w:p>
      <w:r>
        <w:t>IT: VD_FINDINFO HC / 2011 / 383 del 22 luglio 2011</w:t>
      </w:r>
    </w:p>
    <w:p>
      <w:pPr>
        <w:pStyle w:val="Heading2"/>
      </w:pPr>
      <w:r>
        <w:t>Regeste</w:t>
      </w:r>
    </w:p>
    <w:p>
      <w:r>
        <w:t>DIVORCE SUR DEMANDE UNILATÉRALE, OBLIGATION D'ENTRETIEN, CONJOINT, MESURE PROVISIONNELLE, TRAIN DE VIE | 125 CC, 277 al. 3 CPC (CH), 308 al. 1 let. b CPC (CH), 308 al. 2 CPC (CH), 310 CPC (CH), 317 al. 1 CPC (CH)</w:t>
      </w:r>
    </w:p>
    <w:p>
      <w:pPr>
        <w:pStyle w:val="Heading2"/>
      </w:pPr>
      <w:r>
        <w:t>Erwägungen</w:t>
      </w:r>
    </w:p>
    <w:p>
      <w:r>
        <w:rPr>
          <w:b/>
        </w:rPr>
        <w:t>E. 1</w:t>
      </w:r>
    </w:p>
    <w:p>
      <w:r>
        <w:t>L'appel est recevable contre les ordonnances de mesures provisionnelles au sens de l'art. 308 al. 1 let. b CPC (Code de procédure civile du 19 décembre 2008; RS 272) (Tappy, Les voies de droit du nouveau Code de procédure civile, JT 2010 III 121). Les ordonnances de mesures provisionnelles étant régies par la procédure sommaire, selon l'art. 271 CPC, applicable par renvoi de l'art. 276 al. 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francs (art. 308 al.</w:t>
      </w:r>
    </w:p>
    <w:p>
      <w:r>
        <w:rPr>
          <w:b/>
        </w:rPr>
        <w:t>E. 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Kommentar zur Schweizerischen Zivilprozessordnung, Zurich-Bâle-Genève 2010, n. 76 ad art. 317 CPC). En l'espèce, l'appelant reprend les conclusions prises en première instance, qui ressortent de la lettre de son conseil du 28 janvier 2011, soit le rejet de toute contribution d'entretien pour son épouse. Les conclusions ne sont donc pas nouvelles.</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comme en l'espèce, régie par la maxime inquisitoire, les parties pouvant cependant faire valoir que le juge de première instance a violé cette maxime en ne prenant pas en considération certains faits (JT 2011 III 43 c. 2 et réf.). En l'espèce, le dossier est complet et l'ordonnance retient les faits essentiels pour l'examen de la cause en appel. Les pièces produites par l'appelant sont postérieures à l'audience de mesures provisionnelles, mais portent sur des éléments qui pouvaient être déjà démontrés devant le premier juge. En tant que telles, ces pièces sont irrecevables.</w:t>
      </w:r>
    </w:p>
    <w:p>
      <w:r>
        <w:rPr>
          <w:b/>
        </w:rPr>
        <w:t>E. 4</w:t>
      </w:r>
    </w:p>
    <w:p>
      <w:r>
        <w:t>a) L'appelant considère qu'aucune contribution d'entretien ne se justifie, à partir du moment où lui-même ne dispose plus que de revenus restreints et que l'intimée, qui n'a plus d'activité lucrative, bénéficie quant à elle des revenus de la fortune du couple. C'est en tout cas le résumé de moyens soulevés pêle-mêle par l'appelant, répétés à plusieurs endroits de son mémoire, et sans renvoi aux pièces ou aux éléments sur lesquels il se fonde. Le juge devant établir les faits d'office s'agissant de la fixation d'une pension provisionnelle en cours de procédure (art. 277 al. 3 CPC), la situation sera examinée nonobstant la difficulté qu'il y a à cerner les points discutés dans l'appel.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(ATF 135 III 59 c. 4.1 et les arrêts cités).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 4.1.2; ATF 134 III 145 c. 4). Cette jurisprudence peut s'appliquer en l'espèce, dans la mesure où un espoir de réconciliation n'est plus raisonnablement envisageable (ATF 128 III 65). c) En l'espèce, les époux sont mariés depuis 1983 et sont séparés depuis 2008 (all. 3 de la demande) ou 2009 (selon les déductions que l'on peut tirer de l'ordonnance attaquée). Le mariage a donc duré près de 25 ans. L'intimée n'a actuellement plus aucun revenu, hormis ceux de la fortune du couple. Le couple a eu deux enfants, aujourd'hui majeurs. Sur le principe, elle a donc droit à une pension de son mari. Quand bien même l'appelant considère que les revenus de la fortune dont dispose l'intimée suffiraient largement à couvrir son train de vie, il apparaît difficile, sur la base des pièces produites, et faute par l'appelant d'indiquer sur quels documents il se fonde, de considérer que l'intimée disposerait de revenus suffisants grâce à cette fortune. Si l'on se réfère aux diverses pièces au dossier (cf. pièce 54), il apparaît que, au 31 décembre 2009, voire quelques mois plus tard, les comptes au nom de l'intimée mentionnent des totaux de respectivement 11'299 fr. (Raiffeisen), 2'811'286 fr. ( [...] Limited), 40'555 fr. (UBS [...]) à tout le moins, les autres pièces n'étant pas suffisamment documentées ni discutées pour permettre de s'y référer avec certitude. Au 31 décembre 2009, la déclaration d'impôt de l'intimée mentionnait une fortune de près de 3 millions de francs (cf. pièce 53). Quelle que soit la base retenue, la fortune actuelle de l'intimée est de l'ordre de 3 millions de francs, ce qui s'avère insuffisant pour assumer son train de vie, comme le voudrait l'appelant. De toute manière, il serait prématuré à ce stade de préjuger de la liquidation du régime matrimonial puisque l'appelant soutient avoir des droits sur ces montants; de plus, la substance de la fortune du crédirentier ne doit pas en principe être prise en compte pour le montant de la contribution d'entretien (Pichonnaz, Commentaire Romand, Code civil I, n. 58 ad art. 125 CC). Il découle de ce qui précède que le principe de solidarité l'emporte et il était adéquat de considérer que l'intimée avait droit à une pension. Le grief de principe de l'appelant est ainsi mal fondé.</w:t>
      </w:r>
    </w:p>
    <w:p>
      <w:r>
        <w:rPr>
          <w:b/>
        </w:rPr>
        <w:t>E. 5</w:t>
      </w:r>
    </w:p>
    <w:p>
      <w:r>
        <w:t>a) Il reste à déterminer la quotité de la pension due à l'intimée, le premier juge ayant retenu qu'une contribution de 20'000 fr. par mois représentait le maintien de son train de vie jusqu'en 2009 et que rien ne justifiait de s'écarter de ce montant, à l'origine convenu entre parties.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 citées). La prise en compte d'un revenu hypothétique ne revêt pas un caractère pénal; il s'agit simplement d'inciter le débiteur ou le créancier à réaliser le revenu qu'il est à même de se procurer en faisant preuve de bonne volonté. Les critères permettant de déterminer le revenu hypothétique sont en particulier la qualification professionnelle, l'âge, l'état de santé et la situation du marché du travail (ATF 128 III 4 c. 4a; TF 5C.40/2003 du 6 juin 2003 c. 2.1.1 partiellement paru aux ATF 129 III 577; TF 5A_685/2007 du 26 février 2008 c. 2.3; TF 5A_170/2007 du 27 juin 2007 c. 3.1).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 3.3 et l'arrêt cité). Selon la jurisprudence, quand le mariage a concrètement influencé la situation financière d'un époux, l'art. 125 CC lui donne droit au maintien du niveau de vie mené durant la vie commune (ATF 134 III 145 c. 4), qui constitue la limite supérieure de l'entretien convenable (TF 5A_214/2009 du 27 juillet 2009 c. 3.2, reproduit in FamPra.ch 2009, p. 1051; TF 5A_345/2007 du 22 janvier 2008, publié in FamPra.ch 2008, p. 621; TF 5A_2/2008 du 19 juin 2008, publié in FamPra.ch 2008, p. 941 : distinction entre une situation "moyenne" et une situation économique particulièrement favorable).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 En l'espèce, la situation est particulièrement floue. S'agissant des revenus de l'appelant, celui-ci soutient ne gagner plus que 10'000 dollars US par mois, disposer d'une voiture de fonction et d'un appartement qui lui coûterait environ 3'400 fr. par mois à Moscou, mais dont le loyer semble pris en charge par son employeur. Sa nouvelle compagne serait enceinte de ses œuvres, ce qui va entraîner de nouvelles charges financières. En revanche, il explique ses vacances en Afrique du Sud par un concours qu'il aurait gagné et par le fait que " les conditions de vie à Moscou sont difficiles (…). Il est dès lors nécessaire que l'appelant puisse se ressourcer dans un pays du Sud ou autre durant les vacances " (cf. appel, pp. 3-4). Force est de constater que l'explication sur ce point est un peu courte. Quant aux parts de l'appelant dans diverses sociétés qui lui ont appartenu, et à son indemnité de départ de W.________ SA, il soutient qu'il n'aurait plus rien, mais n'apporte aucun justificatif à l'appui de sa thèse. Il n'a pas non plus apporté d'éléments concrets expliquant la cessation des paiements de 20'000 francs par mois à son épouse par T.________ Ltd, dont il est, semble-t-il, encore l'administrateur et ayant droit. Il n'a pas fourni non plus de documents pour éclaircir les conditions dans lesquelles les sociétés dont il était propriétaire et qu'il déclare être en faillite se sont retrouvées actionnaires du groupe O.________ Ltd, lui-même lié au groupe G.________, dont l'appelant est directeur général. Sur ce point, l'intéressé conteste les faits dans son appel, mais n'a pas démontré, pièces à l'appui, ce qui s'est effectivement passé. On peut donc avoir de sérieux doutes sur la réalité de la situation et lui imputer un revenu hypothétique fondé sur les revenus dont il disposait avant la séparation. Il sera toutefois également tenu compte de sa future paternité et des coûts que cela va engendrer. On relèvera que, là encore, ces affirmations ne sont étayées par aucun document, à tel point que l'on ignore si sa nouvelle compagne est domiciliée dans le même appartement et quels sont les revenus de cette dernière. L'appelant doit en supporter les conséquences. S'agissant de la situation de l'intimée, il apparaît que, jusqu'au 24 juillet 2009, elle recevait un "salaire" de 20'000 fr. par mois de P.________ SA à Fribourg, dont l'appelant était l'unique ayant droit. Licenciée à cette date, elle a encore reçu des versements du même ordre jusqu'à la fin de l'année 2009. On relèvera toutefois que la déclaration fiscale de l'intimée ne mentionne pas ces revenus, puisque, pour l'année 2009, elle n'a déclaré qu'un salaire de 48'513 fr. (cf. pièce 53). Il n'en reste pas moins que, malgré cette anomalie, et si l'on se réfère aux extraits de compte produits, notamment le compte courant de l'UBS, il apparaît que l'intimée a effectivement bénéficié de versements irréguliers, mais à chaque fois de plusieurs dizaines de milliers de francs, tant de l'appelant que de P.________ SA, en 2008 et en 2009 à tout le moins. Sur la période allant de mai 2008 à décembre 2009, l'intimée a reçu 137'300 fr. de la part de son mari et encore 158'000 fr. de P.________ SA; on relèvera d'ailleurs que les documents produits par l'appelant et relatifs au bilan et aux comptes de cette société ne mentionnent nulle part ces versements (cf. pièces 28 et 29). Sur vingt mois, l'intimée a donc reçu de l'appelant ou de sa société un total de 295'000 fr., ce qui revient à un montant d'environ 15'000 francs par mois. A cela semble s'être ajouté son salaire comme employée de commerce et une prise en charge de certains frais par T.________ Ltd, ce qui conduit, sur la base des documents au dossier, à retenir que l'intimée disposait bien d'environ 20'000 fr. par mois durant le mariage. A partir de là, compte tenu, d'une part, que le train de vie des deux époux doit être adapté à la séparation et, d'autre part, que le budget actuel de l'intimée fait état de dépenses à hauteur d'environ 17'000 fr. par mois, il y a lieu de s'en tenir à ce dernier chiffre. Tout bien considéré, il apparaît que, pour le maintien du train de vie de l'intimée, c'est une pension mensuelle de 17'000 fr. qui doit être fixée. Cela étant, la décision doit être réformée en ce sens.</w:t>
      </w:r>
    </w:p>
    <w:p>
      <w:r>
        <w:rPr>
          <w:b/>
        </w:rPr>
        <w:t>E. 6</w:t>
      </w:r>
    </w:p>
    <w:p>
      <w:r>
        <w:t>En définitive, l'appel est partiellement admis, compte tenu des conclusions relatives à la suppression totale de la pension. Les frais judiciaires de deuxième instance à la charge de l'appelant sont arrêtés aux trois quarts de l'avance demandée, soit à 1'350 fr., le solde étant supporté par l'intimée au vu du résultat de l'appel (art. 6, 63 al. 3 et 65 al. 3 TFJC [tarif du 28 septembre 2010 des frais judiciaires civils; RSV 270.11.5]). Quant aux dépens, et compte tenu de la motivation qui précède et de la décision prise, ils seront compensés (art. 106 et 107 CPC). Par ces motifs, le juge délégué de la Cour d'appel civile du Tribunal cantonal, statuant à huis clos, prononce : I. L'appel est partiellement admis. II. L'ordonnance est réformée comme il suit au chiffre II de son dispositif : II.- dit que A.R.________ contribuera à l'entretien de B.R.________ par le régulier versement d'une contribution d'entretien de 17'000 fr. (dix-sept mille francs) par mois, payable d'avance le premier jour de chaque mois, dès le 1 er janvier 2010. L'ordonnance est confirmée pour le surplus. III. Les frais judiciaires de deuxième instance, arrêtés à 1'800 fr. (mille huit cents francs), sont mis à la charge de l'appelant par 1'350 fr. (mille trois cent cinquante francs), et de l'intimée par 450 fr. (quatre cent cinquante francs). IV. L'intimée B.R.________ doit verser à l'appelant A.R.________ la somme de 450 fr. (quatre cent cinquante francs) à titre de restitution de l'avance de frais de deuxième instance, les dépens de deuxième instance étant par ailleurs compensés. V.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Kathrin Gruber (pour A.R.________), ‑ Me Xavier Pétremand (pour B.R.________).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