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368 vom 21. Juni 2011</w:t>
      </w:r>
    </w:p>
    <w:p>
      <w:r>
        <w:t>VD Tribunal cantonal, 2011-06-21, FR</w:t>
      </w:r>
    </w:p>
    <w:p>
      <w:r>
        <w:rPr>
          <w:b/>
        </w:rPr>
        <w:t xml:space="preserve">Quelle: </w:t>
      </w:r>
      <w:r>
        <w:t>https://mcp.opencaselaw.ch/entscheid/vd_findinfo_HC___2011___368</w:t>
      </w:r>
    </w:p>
    <w:p>
      <w:r>
        <w:t>FR: VD_FINDINFO HC / 2011 / 368 du 21 juin 2011</w:t>
      </w:r>
    </w:p>
    <w:p>
      <w:r>
        <w:t>IT: VD_FINDINFO HC / 2011 / 368 del 21 giugno 2011</w:t>
      </w:r>
    </w:p>
    <w:p>
      <w:pPr>
        <w:pStyle w:val="Heading2"/>
      </w:pPr>
      <w:r>
        <w:t>Regeste</w:t>
      </w:r>
    </w:p>
    <w:p>
      <w:r>
        <w:t>OBLIGATION D'ENTRETIEN, ENFANT, CHARGE FISCALE, IMPÔT À LA SOURCE, REVENU HYPOTHÉTIQUE | 176 al. 1 ch. 1 CC</w:t>
      </w:r>
    </w:p>
    <w:p>
      <w:pPr>
        <w:pStyle w:val="Heading2"/>
      </w:pPr>
      <w:r>
        <w:t>Erwägungen</w:t>
      </w:r>
    </w:p>
    <w:p>
      <w:r>
        <w:rPr>
          <w:b/>
        </w:rPr>
        <w:t>E. 1</w:t>
      </w:r>
    </w:p>
    <w:p>
      <w:r>
        <w:t>a) L'ordonnance attaquée a été rendue le 21 avril 2011, de sorte que les voies de droit sont régies par le CPC, entré en vigueur le 1 er janvier 2011. b) L'appel est recevable contre les ordonnances de mesures protectrices de l'union conjugale, lesquelles doivent être considérées comme des décisions provisionnelles au sens de l'art. 308 al. 1 let. c CPC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JT 2010 III 115, p. 134). Elle peut revoir librement l'appréciation des faits sur la base des preuves administrées en première instance (ibid., p. 135). Le large pouvoir d'examen en fait et en droit s'applique même si la décision attaquée est de nature provisionnelle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in Basler Kommentar Schweizerische Zivilprozessordnung, n. 7 ad. art. 317 CPC, p. 1498; Reetz/Hilber in Kommentar zur Schweizerischen Zivilprozessordnung, Sutter-Somm/Hasenböhler/Leuenberger (éd.), 2010, n. 14 et 16 ad art. 317 CPC, pp. 2032 - 2033).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Organisation, compétence et procédure, 2 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(HohI, op. cit., n. 2415, p. 438; JT 2011 III 43). En l’espèce, l'appelant ne se plaint pas d'une violation, par le premier juge, de la maxime inquisitoire s'agissant de la situation de ses enfants mineurs. La recevabilité des pièces produites par l'appelant est douteuse dans la mesure où celles-ci auraient pu être produites lors de l'audience du premier juge, à fin mars 2011. Au demeurant, ces pièces ne sont pas de nature à remettre en cause le bien-fondé de la décision du premier juge (cf. infra 3c/ aa). Il n'a pas été donné suite à la requête de comparution personnelle des parties formulée par l'appelant dès lors que la cause ne laisse entrevoir aucune perspective de conciliation et qu'il peut être statué sur le vu des pièces au dossier. Au demeurant, l'art. 316 CPC ne fait que conférer à l'instance d'appel la faculté d'ordonner des débats, l'autorité conservant toute latitude à cet égard.</w:t>
      </w:r>
    </w:p>
    <w:p>
      <w:r>
        <w:rPr>
          <w:b/>
        </w:rPr>
        <w:t>E. 3</w:t>
      </w:r>
    </w:p>
    <w:p>
      <w:r>
        <w:t>a) L'appelant reproche au premier juge d'avoir évalué les revenus et les charges des parties en violation du droit fédéral et d'avoir déterminé sur cette base une contribution d'entretien trop élevée. Il relève qu'à compter du 1 er janvier 2011, son revenu mensuel net a baissé de 47 fr. 20 en raison d'un accroissement des charges sociales. Selon lui, c'est à tort que sa charge fiscale n'a pas été prise en compte dans ses charges mensuelles, que seul un montant de 171 fr. 65 a été retenu à titre de prime d'assurance-maladie et qu'il n'a pas été tenu compte dans ses charges du remboursement des intérêts d'un prêt à la consommation. Par ailleurs, il estime qu'un revenu hypothétique aurait dû être imputé à l'intimée, laquelle pourrait reprendre une activité professionnelle, ou à tout le moins toucher des indemnités de chômage de transition vers un retour à  l'emploi. Il fait également grief à l'autorité de première instance d'avoir tenu compte, dans les charges d'A.B.________, de frais de transport injustifiés. Enfin, il soutient que le premier juge aurait dû prendre en considération les montants déjà versés par lui au titre de contribution d'entretien et les déduire des montants fixés dans le dispositif au titre de la contribution due. b) aa)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bb) Seules les dettes contractées d'entente pour l'entretien commun sont incluses dans les charges pour le calcul du minimum vital (Chaix in Commentaire romand Code civil I, Pichonnaz/Foëx (éd.), n. 3 ad art. 176 CC, p. 1235; TF 5A_452/2010 du 23 août 2010, FamPra.ch 2011, p. 165). La preuve du caractère d'"entretien commun" incombe à celui qui s'en prévaut (art. 8 CC). Selon la jurisprudence, la charge fiscale n'a pas à être prise en compte pour fixer le minimum vital du débiteur (TF 5A_452/2010 du 23 août 2010). Ceci ne vaut pas lorsque le débirentier est imposé à la source, dès lors que le montant de cet impôt est déduit de son salaire sans qu'il puisse s'y opposer (cf. ch. III des Lignes directrices pour le calcul du minimum vital selon l'art. 93 LP; ATF 90 III 34; TF 7B.221/2003 du 17 novembre 2003 c. 3.4, 5A_352/2010 du 29 octobre 2010 c. 5.3). cc) En principe, le juge prend en compte les revenus effectifs. Il peut toutefois s'en écarter et retenir en lieu et place de celui-ci un revenu hypothétique dans la mesure où l'un des conjoints pourrait gagner plus que son revenu effectif, en faisant preuve de bonne volonté et en accomplissant un effort que l'on peut raisonnablement exiger de lui. Cependant,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Les critères permettant de déterminer le montant du revenu hypothétique sont en particulier la qualification professionnelle, l'âge, l'état de santé et la situation du marché du travail (ATF 128 III 4 c. 4a et les références citées). Le Tribunal fédéral a estimé déraisonnable d'imposer la reprise d'une activité lucrative au-delà de l'âge de 45 ans (TF 5A_11/2008 du 18 mars 2008, c. 4.1). Il a toutefois atténué cette limite en invoquant le fait que nombre d'offres d'emploi fixent à 50 ans la limite d'embauche (ATF 127 III 136 c. 2c, JT 2002 I 253). Le besoin d'éducation des enfants entre également en considération. En effet, la mesure dans laquelle un époux doit s'occuper des enfants et la durée de la prise en charge de ceux-ci influencent directement sa capacité de gain. Ainsi, selon la jurisprudence, il y a présomption de fait qu'un travail à 100% ne peut pas être exigé d'un époux avant que le plus jeune de ses enfants à charge ait atteint l'âge de 16 ans (TF 5C.100/2005 du 22 décembre 2005 in FamPra.ch 2006, p. 431; TF 5C.203/2006 du 16 janvier 2007; Pichonnaz/Rumo-Jungo, Evolutions récentes des fondements de l'octroi de l'entretien après divorce in SJ 2004 II 47, pp. 57-58). c) En l'espèce, le premier juge a retenu que le revenu mensuel net de l'appelant s'élevait à 13'330 fr. 30, correspondant à 13'142 fr. 80 de salaire net plus 187 fr. 50 de rente vieillesse provenant du Royaume-Uni après conversion des livres sterling en francs suisse au taux de 1.5 (1'500 / 12 x 1.5). Après déduction des charges essentielles de l'appelant, le premier juge a constaté qu'il restait à celui-ci un montant de 8'628 fr. 65 pour la période du 1 er décembre 2010 au 28 février 2011, et de 9'108 fr. 65 dès le 1 er mars 2011, devant servir en premier lieu à combler le manco de l'intimée, à hauteur de 3'108 fr. 85, le solde, à hauteur de 5'519 fr. 80 du 1 er décembre 2010 au 28 février 2011, respectivement de 5'999 fr. 80 dès le 1 er mars 2011, étant réparti à raison des deux tiers en faveur de l'intimée pour tenir compte du fait qu'elle avait la garde des deux enfants du couple. aa) En ce qui concerne la baisse de 47 fr. 20 du salaire mensuel net de l'appelant en raison de l'accroissement des charges sociales (P. 162 à 165) à compter du 1 er janvier 2011, on constate qu'il s'agit là d'une réduction minime qui n'est pas de nature à remettre en cause le montant de la contribution d'entretien tel que déterminé par le premier juge. bb) En ce qui concerne la charge fiscale, il ressort des fiches de salaires produites par l'appelant qu'un forfait mensuel serait apparemment déduit du salaire par l'employeur. Toutefois, selon le certificat de salaire produit pour l'année 2010 (P. 100), cette déduction – contrairement à celle des cotisations sociales – n'est pas reprise pour le calcul du salaire net, lequel se monte à 157'713 fr. par année. L'appelant ne prétend d'ailleurs pas que la retenue pour impôt à laquelle il a été apparemment procédé par l'employeur constituerait le prélèvement d'une imposition à la source proprement dite mais ne fait état que d'une situation comparable à une imposition à la source. Or, tel n'est pas le cas en l'espèce, une taxation devant encore intervenir. Le raisonnement du premier juge, selon lequel la charge fiscale n'a pas à être prise en considération à défaut de taxation séparée, doit dès lors être confirmé. cc) En ce qui concerne l'assurance-maladie, il résulte des fiches de salaire produites que l'employeur prend en charge une partie de la prime, par une contribution mensuelle de 290 fr. qui vient s'ajouter au salaire. Ce montant ne saurait entrer en considération  dans le calcul du minimum vital. C'est dès lors à juste titre que le premier juge a retenu le solde de la prime incombant à l'appelant, soit 171 fr. 65. dd) En ce qui concerne le remboursement des intérêts du prêt à la consommation, les pièces produites montrent que ce prêt correspond à un crédit personnel contracté par l'appelant uniquement, de 56'300 fr. (P. 110), qui, au 30 décembre 2010, s'élevait à 35'050 francs (P. 111). On ignore tout de ce prêt et de l'usage qui en a été fait, de sorte que l'on ne saurait admettre qu'il s'agit d'une dépense contractée d'entente entre les conjoints et pour l'entretien commun. C'est dès lors à juste titre que le premier juge n'en a pas tenu compte. ee) Le grief de l'appelant selon lequel il aurait fallu imputer à l'intimée un revenu hypothétique tombe également à faux. En effet, il n'est pas contesté qu' A.B.________ est femme au foyer et s'est toujours consacrée à la prise en charge des enfants du couple et du domicile conjugal. Dès lors qu'elle est âgée de près de 49 ans, qu'elle est femme au foyer et s'occupe de ses enfants encore en bas âge, on ne saurait attendre d'elle qu'elle trouve du travail à court terme. L'intimée ne peut davantage prétendre à des indemnités de l'assurance-chômage, dès lors qu'elle n'est pas à même de reprendre une activité faute de disponibilité suffisante quant au temps qu'elle pourrait consacrer à un emploi et quant au nombre des employeurs potentiels (cf. art. 15 et 16 LACI [loi fédérale sur l'assurance-chômage obligatoire et l'indemnité en cas d'insolvabilité du 25 juin 1982; RS 837.0]). ff) En ce qui concerne les frais de transport, à hauteur de 200 fr., retenus par le premier juge dans les charges de l'intimée, ils paraissent justifiés tant dans leur principe que dans leur montant. En effet, ces frais apparaissent nécessaires vu les circonstances du cas d'espèce, l'intimée ayant recours à son véhicule pour effectuer les déplacements scolaires et extra-scolaires des enfants et se déplacer en général. Quant au montant forfaitaire de 200 fr., il paraît raisonnable, de sorte qu'il n'y a pas lieu de s'en écarter. gg) Enfin, pour ce qui a trait aux montants déjà versés par l'appelant à son épouse pour l'entretien de la famille, qu'il s'agirait de déduire de la pension due, les pièces produites ne permettent pas d'établir les montants qui seraient inclus dans les pensions mises à la charge de l'appelant et ceux qui en serait exclus, le décompte  établi par B.B.________ (P. 158) étant basé sur ses propres estimations uniquement. Au demeurant, ainsi que le relève l'intimée, il ne saurait y avoir compensation avec les montants dus qu'avec l'accord du créancier d'aliments (art. 125 ch. 2 CO [Code des obligations du 30 mars 1911; RS 220]), accord qui fait en l'occurrence défaut.</w:t>
      </w:r>
    </w:p>
    <w:p>
      <w:r>
        <w:rPr>
          <w:b/>
        </w:rPr>
        <w:t>E. 4</w:t>
      </w:r>
    </w:p>
    <w:p>
      <w:r>
        <w:t>En définitive, il s'ensuit que l'appel doit être intégralement rejeté et le prononcé confirmé. Les frais d'appel, arrêtés à 600 fr. (art. 65 al. 2 TFJC [tarif des frais judiciaires civils du 28 septembre 2010; RSV 270.11.5]), sont mis à la charge de l'appelant. L'appelant, qui succombe entièrement, doit à l'intimée des dépens de deuxième instance, fixés à 1'200 fr. (105 al. 2 CPC; 7 TDC [tarif des dépens en matière civile du 23 novembre 2010; RS 270.11.6]).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IV. L'appelant B.B.________ doit verser à l'intimée A.B.________ la somme de 1'200 fr. (mille deux cents francs) à titre de dépens de deuxième instance. V. L'arrêt motivé est exécutoire. Le juge délégué : La greffière : Du 22 juin 2011 Le dispositif de l'arrêt qui précède est communiqué par écrit aux intéressés. La greffière : Du L'arrêt qui précède, dont la rédaction a été approuvée à huis clos, est notifié en expédition complète, par l'envoi de photocopies à : ‑ Me Agrippino Renda (pour B.B.________), ‑ Me Patricia Michellod (pour A.B.________).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