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362 vom 30. März 2011</w:t>
      </w:r>
    </w:p>
    <w:p>
      <w:r>
        <w:t>VD Tribunal cantonal, 2011-03-30, FR</w:t>
      </w:r>
    </w:p>
    <w:p>
      <w:r>
        <w:rPr>
          <w:b/>
        </w:rPr>
        <w:t xml:space="preserve">Quelle: </w:t>
      </w:r>
      <w:r>
        <w:t>https://mcp.opencaselaw.ch/entscheid/vd_findinfo_HC___2011___362</w:t>
      </w:r>
    </w:p>
    <w:p>
      <w:r>
        <w:t>FR: VD_FINDINFO HC / 2011 / 362 du 30 mars 2011</w:t>
      </w:r>
    </w:p>
    <w:p>
      <w:r>
        <w:t>IT: VD_FINDINFO HC / 2011 / 362 del 30 marzo 2011</w:t>
      </w:r>
    </w:p>
    <w:p>
      <w:pPr>
        <w:pStyle w:val="Heading2"/>
      </w:pPr>
      <w:r>
        <w:t>Regeste</w:t>
      </w:r>
    </w:p>
    <w:p>
      <w:r>
        <w:t>ADMINISTRATEUR OFFICIEL DE LA SUCCESSION, SUCCESSION, BÉNÉFICE D'INVENTAIRE | 553 CC, 489 CPC, 496 al. 2 CPC, 404 al. 1 CPC (CH), 166 al. 2 CDPJ</w:t>
      </w:r>
    </w:p>
    <w:p>
      <w:pPr>
        <w:pStyle w:val="Heading2"/>
      </w:pPr>
      <w:r>
        <w:t>Erwägungen</w:t>
      </w:r>
    </w:p>
    <w:p>
      <w:r>
        <w:rPr>
          <w:b/>
        </w:rPr>
        <w:t>E. 1</w:t>
      </w:r>
    </w:p>
    <w:p>
      <w:r>
        <w:t>L'art. 404 al. 1 CPC (Code de procédure civile du 19 décembre 2008; RS 272) prévoit que les procédures en cours à l'entrée en vigueur de cette loi, le 1 er janvier 2011, sont régies par l'ancien droit de procédure jusqu'à la clôture de l'instance. En d'autres termes, toutes les procédures déjà pendantes au 31 décembre 2010 continuent à être régies par l'ancien droit et jusqu'à la fin de la procédure de première instance (Tappy, Le droit transitoire applicable lors de l'introduction de la nouvelle procédure civile unifiée, in JT 2010 III 11, spéc. pp. 36-37). Selon l'art. 166 al. 2 CDPJ (Code de droit privé judiciaire vaudois du 12 janvier 2010; RSV 211.02) pour les procédures pendantes au 1 er janvier 2011, y compris la procédure de recours, les règles du CPC-VD (Code de procédure civile vaudois du 14 décembre 1966; RSV 270.11) sont applicables. En l'espèce, les décisions attaquées ont été prises dans le cadre d'une administration officielle, mesure de sûreté en matière successorale (art. 551 et ss CC; JT 1952 III 24, spéc. p. 26) qui relève de la procédure non contentieuse (JT 1961 III 72, spéc. pp. 75 et 77). La voie du recours non contentieux régi par les art. 489 et ss CPC-VD est donc ouverte. Interjeté le 5 juillet 2010 contre une décision datée du 6 mai 2010 mais envoyée le 24 juin 2010, le premier recours a été formé en temps utile. C'est également le cas du deuxième recours, interjeté le 3 janvier 2011 contre une décision du 8 novembre 2010 envoyée le 7 décembre 2010, compte tenu de la suspension du délai de recours durant les féries de fin d'année (art. 39 al. 1 let. c CPC-VD). En matière non contentieuse, la production de pièces est admise en deuxième instance (art. 496 al. 2 CPC-VD). Les pièces produites par les recourants peuvent donc être versées au dossier.</w:t>
      </w:r>
    </w:p>
    <w:p>
      <w:r>
        <w:rPr>
          <w:b/>
        </w:rPr>
        <w:t>E. 2</w:t>
      </w:r>
    </w:p>
    <w:p>
      <w:r>
        <w:t>Les recourants s'en prennent en premier lieu à l'approbation de l'inventaire de la succession établi par l'administrateur officiel ainsi que du rapport 2009 dudit administrateur. Le second recours est dirigé contre le refus de rectifier en les complétant ces deux mêmes inventaire et rapport. Les recourants requièrent la jonction de leurs recours. Selon la jurisprudence, l'ouverture de la voie du recours non contentieux des art. 489 ss CPC-VD contre le contenu de l'inventaire civil est subordonnée à une demande de rectification préalable (JT 1983 III 114 c. 5). On peut toutefois laisser indécise la question de savoir si la procédure de rectification constitue également une condition à la recevabilité du recours dirigé non directement contre l'inventaire, mais contre l'approbation par la Justice de paix de l'inventaire dressé par l'administrateur officiel. En effet, dans le cas d'espèce, cette procédure de rectification a de toute manière été engagée et a abouti à une nouvelle décision cette fois-ci de refus de modifier l'inventaire précédemment approuvé. L'économie de la procédure commande de traiter d'abord du recours dirigé contre le refus de rectifier, son issue étant susceptible de rendre le premier recours sans objet. Quant à la jonction des recours opposant les mêmes parties et portant matériellement sur le même litige, soit le contenu de l'inventaire, rien ne s'y oppose. Aussi, les deux recours seront joints et un seul arrêt sera rendu.</w:t>
      </w:r>
    </w:p>
    <w:p>
      <w:r>
        <w:rPr>
          <w:b/>
        </w:rPr>
        <w:t>E. 3</w:t>
      </w:r>
    </w:p>
    <w:p>
      <w:r>
        <w:t>A son entrée en fonction, l'administrateur officiel doit établir un inventaire de la succession au sens de l'art. 553 CC (Steinauer, Le droit des successions, Berne 2006, n. 878a). Selon l'al. 2 de cette disposition, l'inventaire est dressé conformément à la législation cantonale. Les art. 525 à 528 CPC-VD traitent de l'inventaire de l'art. 553 CC sans toutefois préciser son contenu. L'inventaire conservatoire prévu à l'art. 553 CC tend uniquement à établir la consistance de la succession - énumérer ses actifs et passifs - mais non à l'estimer. L'inventaire ne préjuge en rien du sort futur des biens laissés par le défunt (Guinand/Stettler/Leuba, Droit des successions, 6 ème éd., n. 437, p. 211). La décision que constitue l'établissement de l'inventaire au sens de l'art. 553 CC n'est prise que prima facie , à titre d'indication provisoire, et sous réserve d'un éventuel procès au fond (JT 1965 III 93), par exemple une action en pétition d'hérédité. L'inventaire n'est pas destiné à déterminer les parts successorales ou la quotité disponible, pas plus qu'il ne peut servir de base de calcul pour le partage. Il est tout à fait possible que d'autres actifs soient découverts en cours de liquidation. L'inventaire conservatoire ne saurait servir à des investigations complémentaires (ATF 120 Il 293, JT 1995 I 329). Les premiers juges ont refusé les compléments proposés par les recourants et ultérieurement par l'administrateur officiel, notamment pour le motif qu'un recours était pendant contre l'approbation de l'inventaire à compléter. Ce motif s'avère d'emblée infondé. En effet, dès lors que le recours contre la première décision et la requête de rectification ont exactement le même objet, l'admission de l'un prive automatiquement l'autre de son objet. Par ailleurs, comme indiqué ci-dessus, en matière d'inventaire successoral, la procédure de rectification préalable constitue en principe une condition à la recevabilité du recours. Le deuxième motif de refus invoqué par les premiers juges tient à l'existence par trop incertaine des créances pour que celles-ci puissent être inventoriées. L'inventaire tend à la conservation du patrimoine existant à l'ouverture de la succession (ATF 120 Il 293, JT 1995 I 329). Dès lors, il est justifié de ne pas y faire figurer des prétentions dépourvues de toute réalité, notamment en l'absence de la moindre preuve ou indice du rapport d'obligation invoqué. En revanche, une créance conditionnelle devrait être inventoriée. De plus, il n'y a pas lieu de confondre l'inexistence objective d'une créance telle qu'on peut s'en convaincre prima facie avec le fait qu'elle soit contestée ou litigieuse entre les héritiers. Lorsque l'appartenance à la succession d'un actif ou d'un passif est contestée, la jurisprudence considère qu'il doit figurer avec la mention " sous réserve " dans l'inventaire conservatoire (ATF 118 II 264; Karrer, Basler Kommentar, 3 ème éd., n. 3 ad art. 553 CC). En l'espèce, les compléments que l'administrateur officiel entend porter pour mémoire à la rubrique actif de l'inventaire d'entrée, soit tous biens éventuels ainsi que toute créance éventuelle contre inconnu au titre des fonds retirés par la défunte sur son compte joint avec son époux A.________ ou de son compte individuel auprès de [...] à Genève, en particulier trois retraits effectués le 18 mars 1998 et les 21 et 28 juillet 2000 pour un montant total de 5'786'771 fr. 90, et tous biens devant éventuellement être intégrés à la masse de la communauté des époux A.________ et B.________ (cf. pièce 5 du bordereau des recourants) reposent sur des éléments concrets. Les retraits en espèces en question sont en effet dûment établis. Il est également établi que B.________ avait déclaré à la banque dépositaire retirer ces fonds, à tout le moins un montant de 3'941'771 fr. 90 pour effectuer des investissements immobiliers. L'existence de ces actifs étant vraisemblable, il est justifié de les inventorier. Quant aux compléments que l'administrateur entend apporter pour mémoire à la rubrique passif de l'inventaire, soit toute dette éventuelle envers les héritiers de feu A.________ au titre des fonds retirés par la défunte sur le compte joint des époux auprès de [...] et toute autre dette éventuelle envers ces mêmes héritiers (cf. pièce 5 du bordereau des recourants), l'existence, dans son principe, de la dette en question n'est pas contestable, ni d'ailleurs véritablement contestée, la défunte étant tenue en sa qualité d'usufruitière d'une obligation de conserver la substance des biens grevés de l'usufruit pour, à la fin de celui-ci, transmettre ces valeurs patrimoniales aux nus-propriétaires. Se référant à l'opinion de Karrer (Basler Kommentar, 3 ème éd., n. 3 ad art. 553 CC), les intimés font valoir que l'inventaire conservatoire de l'art. 553 CC ne devrait intégrer, selon les exigences du droit fédéral, que les actifs. Cet auteur cite toutefois d'autres auteurs de doctrine partisans d'un inventaire incluant les passifs. La Chambre des recours suit ce courant, qui paraît majoritaire (CREC II 11 octobre 2004/862 et réf. à Piotet, Droit successoral, Traité de droit privé suisse, tome IV, Fribourg 1975, pp. 625 ss; ATF 118 II 264). Quoi qu'il en soit, l'inventaire et le compte de l'administrateur officiel d'ores et déjà approuvés comportent un bilan avec actif et passif, ainsi qu'un compte de pertes et profits qui renseignent avec clarté sur l'état et l'évolution du patrimoine successoral. Nul ne s'est plaint auparavant que les passifs successoraux soient intégrés dans l'inventaire et que celui-ci se conclue par une fortune nette. Par souci de cohérence, apporter des compléments à ces documents impliquait également de les faire porter sur les passifs. L'inventaire doit dès lors être complété comme proposé par l'administrateur officiel.</w:t>
      </w:r>
    </w:p>
    <w:p>
      <w:r>
        <w:rPr>
          <w:b/>
        </w:rPr>
        <w:t>E. 4</w:t>
      </w:r>
    </w:p>
    <w:p>
      <w:r>
        <w:t>En définitive, le recours interjeté contre la décision du 8 novembre 2010 doit être admis et celle-ci réformée dans le sens de l'approbation des compléments à l'inventaire d'entrée, ainsi qu'aux rapports et aux comptes, produits par l'administrateur d'office sous pli du 3 septembre 2010. Les frais de cette décision, par 400 fr., sont mis à la charge des requérants C.________ et U.________, solidairement entre eux. C.________ et U.________, solidairement entre eux, ont droit à des dépens de première instance, arrêtés à 2'400 fr., à la charge de D.________, T.________ et I.________, solidairement entre eux. Compte tenu de ce qui précède, le recours contre la décision du 22 juin 2010 est sans objet. Les frais de deuxième instance des recourants, solidairement entre eux, sont arrêtés à 6'000 fr. (art. 236 al. 3 aTFJC [tarif du 4 décembre 1984 des frais judiciaires en matière civile]). Obtenant gain de cause, les recourants ont droit, solidairement entre eux, à des dépens de deuxième instance à la charge des intimés qui ont procédé à leur encontre, solidairement entre eux, qu'il y a lieu d'arrêter à 10'000 fr. (art. 2 al. 1 ch. 33, art. 3 et 4 TAv [tarif du 17 juin 1986 des honoraires d'avocat dus à titre de dépens]), dont 6'000 fr. à titre de remboursement du coupon de justice de deuxième instance. Par ces motifs, la Chambre des recours du Tribunal cantonal, statuant à huis clos, prononce : I. Le recours contre la décision du 8 novembre 2010 est admis. II. La décision est réformée comme il suit aux chiffres I à IV de son dispositif : I. approuve les compléments à l'inventaire d'entrée, ainsi qu'aux rapports et aux comptes, produits par l'administrateur d'office sous pli du 3 septembre 2010; II. met les frais de la présente décision par 400 fr. (quatre cents francs) à la charge des requérants C.________ et U.________, solidairement entre eux. III. dit que D.________, T.________ et I.________, solidairement entre eux, doivent verser à C.________ et U.________, créanciers solidaires, la somme de 2'400 fr. (deux mille quatre cents francs) à titre de dépens. IV. supprimé. III. Le recours contre la décision du 22 juin 2010 est sans objet. IV. Les frais de deuxième instance des recourants C.________ et U.________, solidairement entre eux, sont arrêtés à 6'000 fr. (six mille francs). V. Les intimés D.________, T.________ et I.________, solidairement entre eux, doivent verser aux recourants C.________ et U.________, créanciers solidaires, la somme de 10'000 fr. (dix mille francs), à titre de dépens de deuxième instance. VI. L'arrêt motivé est exécutoire. Le président :               Le greffier : Du 30 mars 2011 Le dispositif de l'arrêt qui précède est communiqué par écrit aux intéressés. Le greffier : Du L'arrêt qui précède, dont la rédaction a été approuvée à huis clos, est notifié en expédition complète, par l'envoi de photocopies, à : ‑ Me Daniel Pache (pour C.________), ‑ Me Jacques Piattini (pour U.________), ‑ Me Olivier Freymond (pour D.________, I.________ et T.________), ‑ Me Astrid Von Bentivegni Schaub (pour V.________), ‑ L.________. La Chambre des recours considère que la valeur litigieuse est supérieure à 5'000'000 de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