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360 vom 6. Juli 2011</w:t>
      </w:r>
    </w:p>
    <w:p>
      <w:r>
        <w:t>VD Tribunal cantonal, 2011-07-06, FR</w:t>
      </w:r>
    </w:p>
    <w:p>
      <w:r>
        <w:rPr>
          <w:b/>
        </w:rPr>
        <w:t xml:space="preserve">Quelle: </w:t>
      </w:r>
      <w:r>
        <w:t>https://mcp.opencaselaw.ch/entscheid/vd_findinfo_HC___2011___360</w:t>
      </w:r>
    </w:p>
    <w:p>
      <w:r>
        <w:t>FR: VD_FINDINFO HC / 2011 / 360 du 6 juillet 2011</w:t>
      </w:r>
    </w:p>
    <w:p>
      <w:r>
        <w:t>IT: VD_FINDINFO HC / 2011 / 360 del 6 luglio 2011</w:t>
      </w:r>
    </w:p>
    <w:p>
      <w:pPr>
        <w:pStyle w:val="Heading2"/>
      </w:pPr>
      <w:r>
        <w:t>Regeste</w:t>
      </w:r>
    </w:p>
    <w:p>
      <w:r>
        <w:t>OBLIGATION D'ENTRETIEN, PROTECTION DE L'UNION CONJUGALE | 176 al. 1 ch. 1 CC</w:t>
      </w:r>
    </w:p>
    <w:p>
      <w:pPr>
        <w:pStyle w:val="Heading2"/>
      </w:pPr>
      <w:r>
        <w:t>Erwägungen</w:t>
      </w:r>
    </w:p>
    <w:p>
      <w:r>
        <w:rPr>
          <w:b/>
        </w:rPr>
        <w:t>E. 1</w:t>
      </w:r>
    </w:p>
    <w:p>
      <w:r>
        <w:t>a) Le prononcé attaqué a été rendu le 18 mai 2011, de sorte que les voies de droit sont régies par le CPC (Code de procédure civile suisse du 19 décembre 2008, RS 272) entré en vigueur le 1 er janvier 2011. b) L’appel est recevable contre les prononcés de mesures protectrices de l’union conjugale, lesquelles doivent être considérées comme des décisions provisionnelles au sens de l’art. 308 al. 1 let. b CPC (Tappy, Les voies de droit du nouveau Code de procédure civile, in JT 2010 III 115, spéc. p. 121), pour autant, lorsque la cause est exclusivement pécuniaire, que la valeur litigieuse soit de 10'000 fr. au moins. Les prononcés de mesures protectrices étant régis par la procédure sommaire, selon l’art. 271 CPC, le délai pour l’introduction de l’appel est de dix jours (art. 314 al. 1 CPC). L’appel est de la compétence du juge unique (art. 84 al. 2 LOJV [Loi d’organisation judiciaire du 12 décembre 1979, RSV 173.01]). Formés en temps utile par des parties qui y ont intérêt et portant sur des conclusions qui, capitalisées selon l’art. 92 al. 2 CPC, sont supérieures à 10'000 fr., les deux appels sont recevables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b)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Berne 2009, p. 197 ; Spühler, Basler Kommentar, Bâle 2010, n.</w:t>
      </w:r>
    </w:p>
    <w:p>
      <w:r>
        <w:rPr>
          <w:b/>
        </w:rPr>
        <w:t>E. 7</w:t>
      </w:r>
    </w:p>
    <w:p>
      <w:r>
        <w:t>Une erreur de plume s’est glissée au chiffre II du dispositif qui a été notifié aux parties le 8 juillet 2011. Celui-ci doit être rectifié d’office en application de l’art. 334 al. 2 CPC, en ce sens que le terme « ordonnance » est remplacé par celui de « prononcé » utilisé par le premier juge. Par ces motifs, la juge déléguée de la Cour d’appel civile du Tribunal cantonal, statuant à huis clos, en application de l'art. 312 al. 1 CPC, prononce : I. Les appels sont rejetés. II. Le prononcé est confirmé. III. Les frais judiciaires de deuxième instance, arrêtés à 1'500 fr. (mille cinq cents francs) pour l’appel de B.R.________ sont mis à la charge de celle-ci. IV. Les frais judiciaires de deuxième instance, arrêtés à 1'500 fr. (mille cinq cents francs) pour l’appel de A.R.________, sont mis à la charge de celui-ci V. L’arrêt motivé est exécutoire. La juge déléguée : Le greffier : Du</w:t>
      </w:r>
    </w:p>
    <w:p>
      <w:r>
        <w:rPr>
          <w:b/>
        </w:rPr>
        <w:t>E. 8</w:t>
      </w:r>
    </w:p>
    <w:p>
      <w:r>
        <w:t>juillet 2011 Le dispositif de l'arrêt qui précède est communiqué par écrit aux intéressés. Le greffier : Du L'arrêt qui précède, dont la rédaction a été approuvée à huis clos, est notifié en expédition complète, par l'envoi de photocopies, à : ‑ Me Malek Buffat Reymond (pour A.R.________) ‑ Me Alain-Valéry Poitry (pour B.R.________)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