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324 vom 9. Juni 2011</w:t>
      </w:r>
    </w:p>
    <w:p>
      <w:r>
        <w:t>VD Tribunal cantonal, 2011-06-09, FR</w:t>
      </w:r>
    </w:p>
    <w:p>
      <w:r>
        <w:rPr>
          <w:b/>
        </w:rPr>
        <w:t xml:space="preserve">Quelle: </w:t>
      </w:r>
      <w:r>
        <w:t>https://mcp.opencaselaw.ch/entscheid/vd_findinfo_HC___2011___324</w:t>
      </w:r>
    </w:p>
    <w:p>
      <w:r>
        <w:t>FR: VD_FINDINFO HC / 2011 / 324 du 9 juin 2011</w:t>
      </w:r>
    </w:p>
    <w:p>
      <w:r>
        <w:t>IT: VD_FINDINFO HC / 2011 / 324 del 9 giugno 2011</w:t>
      </w:r>
    </w:p>
    <w:p>
      <w:pPr>
        <w:pStyle w:val="Heading2"/>
      </w:pPr>
      <w:r>
        <w:t>Regeste</w:t>
      </w:r>
    </w:p>
    <w:p>
      <w:r>
        <w:t>EXPULSION DE LOCATAIRE | 257d CO, 319 let. a CPC (CH)</w:t>
      </w:r>
    </w:p>
    <w:p>
      <w:pPr>
        <w:pStyle w:val="Heading2"/>
      </w:pPr>
      <w:r>
        <w:t>Erwägungen</w:t>
      </w:r>
    </w:p>
    <w:p>
      <w:r>
        <w:rPr>
          <w:b/>
        </w:rPr>
        <w:t>E. 1</w:t>
      </w:r>
    </w:p>
    <w:p>
      <w:r>
        <w:t>a) L'ordonnance contestée a été rendue le 5 mai 2011, de sorte que les voies de droit sont régies par le Code de procédure civile du 19 décembre 2008 (CPC; RS 272), entré en vigueur le 1 er janvier 2011 (art. 405 al. 1 CPC). b) La décision attaquée est une décision finale de première instance, susceptible d'appel dans les affaires patrimoniales lorsque la valeur litigieuse atteint selon les dernières conclusions la somme de 10'000 francs au moins (art. 308 al. 2 CPC). Dès lors que le principe de l'expulsion n'est pas remis en cause, la valeur litigieuse équivaut aux loyers à verser durant la prolongation demandée (CREC 6 avril 2011). En l'espèce, la valeur litigieuse n'atteint pas 10'000 francs, compte tenu du fait qu'une prolongation ne pourrait quoi qu'il en soit être accordée que pour une durée très limitée. Il s'ensuit que seul un recours peut être formé contre l'ordonnance attaquée (art. 319 let. a CPC). Interjeté en temps utile et conforme aux exigences prévues à l'art. 321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recours n'est pas suspensif (art. 325 al. 1 CPC).</w:t>
      </w:r>
    </w:p>
    <w:p>
      <w:r>
        <w:rPr>
          <w:b/>
        </w:rPr>
        <w:t>E. 4</w:t>
      </w:r>
    </w:p>
    <w:p>
      <w:r>
        <w:t>Les pièces produites en deuxième instance sont irrecevables (art. 326 al. 1 CPC).</w:t>
      </w:r>
    </w:p>
    <w:p>
      <w:r>
        <w:rPr>
          <w:b/>
        </w:rPr>
        <w:t>E. 5</w:t>
      </w:r>
    </w:p>
    <w:p>
      <w:r>
        <w:t>La recourante invoque un état de santé précaire et une mauvaise situation financière en vue d'obtenir une prolongation du délai pour quitter le logement qu'elle occupe. La jurisprudence a précisé que, lorsque le locataire n'avait pas réglé l'arriéré réclamé dans le délai comminatoire de l'art. 257d CO, il était en demeure et devait subir les conséquences juridiques de l'alinéa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4 février 1997, in Cahiers du Bail [CdB] 3/97 pp. 65 ss c. 2b, p. 68; TF 4C_74/2006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cour de céans considérait, sous l'empire de l'ancien droit cantonal abrogé par l'entrée en vigueur du CPC, que, sauf cas particulier, un délai de libération des locaux de quinze à vingt jours était admissible (Guignard, in Procédures spéciales vaudoises, Lausanne, 2008, n. 2 ad art. 17 LPEBL, p. 196 et références). En l'espèce, l'autorité de première instance a tenu compte du temps nécessaire pour le déménagement en fixant un délai au 30 mai 2011 pour libérer les locaux. Les modalités de l'expulsion ne sont ainsi pas contraires au droit. De toute manière, le principe de proportionnalité devra être examiné, le cas échéant, dans le cadre de la procédure d'exécution forcée.</w:t>
      </w:r>
    </w:p>
    <w:p>
      <w:r>
        <w:rPr>
          <w:b/>
        </w:rPr>
        <w:t>E. 6</w:t>
      </w:r>
    </w:p>
    <w:p>
      <w:r>
        <w:t>En définitive, le recours doit être rejeté, en application de l'art. 322 al. 1 CPC, et l'ordonnance confirmée. Les frais judiciaires de deuxième instance sont arrêtés à 200 fr. (art. 69 al. 1 TFJC [tarif des frais judiciaires en matière civile du 28 septembre 2010; RSV 270.11.5]). Les frais, qui comprennent les dépens selon l'art. 95 al. 1 CPC, doivent être mis à la charge de la partie qui succombe (art. 106 al. 1 CPC). En l'espèce, les recourants succombent et supporteront les frais de justice. L'intimé n'ayant pas procédé, il ne sera pas alloué de dépens.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des recourants Z.________ et   J.________, solidairement entre eux. IV. L'arrêt motivé est exécutoire. Le président :               Le greffier : Du</w:t>
      </w:r>
    </w:p>
    <w:p>
      <w:r>
        <w:rPr>
          <w:b/>
        </w:rPr>
        <w:t>E. 10</w:t>
      </w:r>
    </w:p>
    <w:p>
      <w:r>
        <w:t>juin 2011 Le dispositif de l'arrêt qui précède est communiqué par écrit aux intéressés. Le greffier : Du L'arrêt qui précède, dont la rédaction a été approuvée à huis clos, est notifié en expédition complète, par l'envoi de photocopies, à : ‑ Mme Z.________ et M. J.________, ‑ COGESTIM. La Chambre des recours civile considère que la valeur litigieuse est de 2'960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