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319 vom 6. Juni 2011</w:t>
      </w:r>
    </w:p>
    <w:p>
      <w:r>
        <w:t>VD Tribunal cantonal, 2011-06-06, FR</w:t>
      </w:r>
    </w:p>
    <w:p>
      <w:r>
        <w:rPr>
          <w:b/>
        </w:rPr>
        <w:t xml:space="preserve">Quelle: </w:t>
      </w:r>
      <w:r>
        <w:t>https://mcp.opencaselaw.ch/entscheid/vd_findinfo_HC___2011___319</w:t>
      </w:r>
    </w:p>
    <w:p>
      <w:r>
        <w:t>FR: VD_FINDINFO HC / 2011 / 319 du 6 juin 2011</w:t>
      </w:r>
    </w:p>
    <w:p>
      <w:r>
        <w:t>IT: VD_FINDINFO HC / 2011 / 319 del 6 giugno 2011</w:t>
      </w:r>
    </w:p>
    <w:p>
      <w:pPr>
        <w:pStyle w:val="Heading2"/>
      </w:pPr>
      <w:r>
        <w:t>Regeste</w:t>
      </w:r>
    </w:p>
    <w:p>
      <w:r>
        <w:t>OBLIGATION D'ENTRETIEN, LOGEMENT DE LA FAMILLE, AVANCE DE FRAIS, CONJOINT | 125 al. 1 CC, 176 al. 1 ch. 1 CC, 176 al. 1 ch. 2 CC, 308 al. 1 let. b CPC (CH)</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en droit ainsi défini s'applique même si la décision attaquée est de nature provisionnelle (JT 2011 III 43 c.2,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ibid. pp. 136-137).</w:t>
      </w:r>
    </w:p>
    <w:p>
      <w:r>
        <w:rPr>
          <w:b/>
        </w:rPr>
        <w:t>E. 1.3</w:t>
      </w:r>
    </w:p>
    <w:p>
      <w:r>
        <w:t>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(JT 2011 III 43 c.2; en ce sens Tappy, op. cit. JT 2010 III 15; Hohl, Procédure civile Tome II, 2 ème éd., n. 2410 p. 437). Toutefois, des novas peuvent être en principe introduits librement en appel dans les causes régies par la maxime d'office, par exemple sur la situation des enfants mineurs en droit matrimonial  (Tappy, ibid., p. 139), à tout le moins lorsque le le juge de première instance a violé la maxime inquisitoire illimitée (JT 2011 III 43 c.2; Hohl, Procédure civile, Tome II, 2 e éd., n. 2414 p, 438, Tappy, ibid., p. 43). En l'espèce, à partir du moment où le couple a deux enfants mineures, le litige est régi par la maxime inquisitoire illimitée de l'art. 292 CPC (Hohl, op. cit., nn. 1166 ss et 2414 ss). Les pièces produites par les parties devraient donc être considérées comme des novas susceptibles d'être examinés par le juge de l'appel en application de l'art. 317 al. 1 CPC. Cela implique évidemment que les réquisitions de pièces, voire le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 la production des pièces nécessite de reprendre l'instruction de la cause sur des faits essentiels, il est vain d'y procéder à ce stade (art. 318 al. 1 CPC).</w:t>
      </w:r>
    </w:p>
    <w:p>
      <w:r>
        <w:rPr>
          <w:b/>
        </w:rPr>
        <w:t>E. 2</w:t>
      </w:r>
    </w:p>
    <w:p>
      <w:r>
        <w:t>L'appelant conteste tout d'abord l'attribution du domicile conjugal à l'intimée au motif que l'entretien d'un tel immeuble requiert un travail physique important que l'épouse, qui souffrirait de fibromyalgie, ne peut accomplir, ceci dans le souci de préserver la valeur de l'actif immobilier. A la requête de l'un des conjoints, le juge prend les mesures en ce qui concerne le logement et le mobilier du ménage, si la suspension de la vie commune est fondée (art. 176 al. 1 ch. 2 CC [Code civil suisse du 10 décembre 1907; RS 210]). Selon la jurisprudence,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(JT 2010 I 341 c. 3.1; ATF 120 II 1 c. 2c p. 3, JT 1996 I 232). La jurisprudence et la doctrine ont clarifié ce qu'il fallait entendre par "opportunité" (Zweckmässigkeit) et "plus grande utilité" (grösserem Nutzen) (Hausheer/Reusser/Geiser, Commentaire bernois, n. 29 ad art. 176 CC).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Dans les cas litigieux, le juge des mesures protectrices de l'union conjugale décide de l'attribution du logement selon sa libre appréciation en tenant compte de toutes les circonstances et en pesant attentivement les intérêts des parents et des enfants (TF 5P_336/2004 du 10 mars 2005 c. 2 et 4A_344/2008 du 28 juillet 2008 c. 5). En confiant la garde des enfants à leur mère, le premier juge a attribué la jouissance du logement conjugal à cette dernière. En l'espèce, c'est à juste titre que le premier juge a attribué le logement familial à l'épouse, compte tenu de l'importance que revêt la stabilité du cadre dans lequel évoluent les enfants (Stettler/Germani, Droit civil III, Les effets généraux du mariage [art. 159-180 CC], 2 e éd., n° 377). Cet intérêt est prépondérant par rapport à celui de la prétendue incapacité de l'intimée à s'occuper de l'entretien du jardin et du logement, qu'elle peut confier si nécessaire à un tiers. Il s'ensuit que l'appel doit être rejeté sur ce point.</w:t>
      </w:r>
    </w:p>
    <w:p>
      <w:r>
        <w:rPr>
          <w:b/>
        </w:rPr>
        <w:t>E. 3</w:t>
      </w:r>
    </w:p>
    <w:p>
      <w:r>
        <w:t>L'appelant s'oppose également à son départ du domicile conjugal dans un délai d'un mois. En l'espèce, le rejet du premier moyen implique le rejet du deuxième. Le délai imparti, qui est raisonnable dès lors que l'appelant a la disposition d'un studio, peut être approuvé.</w:t>
      </w:r>
    </w:p>
    <w:p>
      <w:r>
        <w:rPr>
          <w:b/>
        </w:rPr>
        <w:t>E. 4</w:t>
      </w:r>
    </w:p>
    <w:p>
      <w:r>
        <w:t>.2 Le prononcé querellé retient que l'appelant perçoit un salaire net d'environ 20'561 fr. par mois (246'728 fr. : 12). L'appelant a produit une attestation de [...] du 21 avril 2011, dont il ressort que le bonus pour l'année 2011 sera inférieur de 30'000 fr. à celui qui lui a été versé en 2010. Dès lors, son salaire annuel perçu en 2010 doit être amputé de cette somme en sorte que le gain déterminant pour fixer la pension est de 18'060 fr.    ([246'728 fr. – 30'000fr.] : 12) net par mois. Pour le surplus, il ne résulte pas des pièces produites que d'autres éléments du salaire aient diminué, une partie de celui-ci étant précisément variable en fonction du profit réalisé.</w:t>
      </w:r>
    </w:p>
    <w:p>
      <w:r>
        <w:rPr>
          <w:b/>
        </w:rPr>
        <w:t>E. 4.1</w:t>
      </w:r>
    </w:p>
    <w:p>
      <w:r>
        <w:t>L'appelant conteste la quotité de la contribution mise à sa charge. Il conclut au service d'une pension maximale de 3'000 francs par mois. Il ne remet pas en question la méthode de calcul du premier juge, mais les montants retenus à ce titre. Selon l'art. 176 al. 1 ch. 1 CC (Code civil du 10 décembre 1907; RS 210), le montant de la contribution d'entretien se détermine en fonction des facultés économiques et des besoins respectifs des époux. Dans la mesure où des enfants mineurs sont concernés, le juge ordonne les mesures nécessaires, d'après les effets de la filiation (art. 176 al. 3 CC), notamment au regard des art. 276 al. 1 et 2 et 285 al. 1 CC (TF 5A_511/2010 du 4 février 2011 c. 2.1 et réf. citées).</w:t>
      </w:r>
    </w:p>
    <w:p>
      <w:r>
        <w:rPr>
          <w:b/>
        </w:rPr>
        <w:t>E. 4.3</w:t>
      </w:r>
    </w:p>
    <w:p>
      <w:r>
        <w:t>L'appelant soutient que les charges du logement conjugal (chauffage, électricité, eau, TV – téléphone, assurances) sont de 1'500 fr. par mois. Ce montant paraît exagéré. S'agissant en l'espèce d'une propriété cossue, un montant de 1'000 fr. par mois peut être retenu pour l'entretien de celle-ci. Les redevances d'électricité et de TV sont en revanche comprises dans le montant de base mensuel (cf Lignes directrices pour le calcul du minimum d'existence en matière de poursuite (minimum vital), selon l'article 93 LP [Conférence des préposés aux poursuites et faillites de Suisse] du 1 er juillet 2009).</w:t>
      </w:r>
    </w:p>
    <w:p>
      <w:r>
        <w:rPr>
          <w:b/>
        </w:rPr>
        <w:t>E. 4.4</w:t>
      </w:r>
    </w:p>
    <w:p>
      <w:r>
        <w:t>L'appelant soutient qu'à défaut de se voir attribuer le logement familial, il devra s'enquérir d'un appartement qui lui permette d'exercer son droit de visite de manière adéquate. Le premier juge a retenu pour l'appelant une charge locative de 700 fr. correspondant au loyer du studio qu'il a réservé à [...]. La prise en compte d'un tel montant est en l'espèce insuffisante, l'appelant devant impérativement louer un appartement qui lui permette d'accueillir convenablement ses deux enfants durant le week-end et les vacances. Dès lors, un montant de 2'500 fr. doit être retenu à ce titre.</w:t>
      </w:r>
    </w:p>
    <w:p>
      <w:r>
        <w:rPr>
          <w:b/>
        </w:rPr>
        <w:t>E. 4.5</w:t>
      </w:r>
    </w:p>
    <w:p>
      <w:r>
        <w:t>L'appelant soutient que le remboursement de sa dette envers l'Office cantonal d'assurances sociales du canton de Genève et celle envers le fisc doit être pris en compte dans ses charges mensuelles. Conformément à l'appréciation du premier juge, il n'y a pas lieu de rajouter le remboursement de la dette AVS ni celui de la dette d'impôt aux charges minimales du débiteur, une telle solution étant admise dans la mesure où les dettes de l'époux cèdent le pas à l'obligation d'entretien du droit de la famille (TF 5A_452/2010 du 23 août 2010, FamPra.ch 2011 p. 165 n°2).</w:t>
      </w:r>
    </w:p>
    <w:p>
      <w:r>
        <w:rPr>
          <w:b/>
        </w:rPr>
        <w:t>E. 4.6</w:t>
      </w:r>
    </w:p>
    <w:p>
      <w:r>
        <w:t>Enfin, les primes à payer pour des assurances non obligatoires ne sont pas prises en compte (ATF 134 III 323 et ss) en sorte que seules les assurances obligatoires des soins participeront à l'établissement du minimum vital de l'époux. Il en va de même en ce qui concerne l'épouse.</w:t>
      </w:r>
    </w:p>
    <w:p>
      <w:r>
        <w:rPr>
          <w:b/>
        </w:rPr>
        <w:t>E. 4.7</w:t>
      </w:r>
    </w:p>
    <w:p>
      <w:r>
        <w:t>Compte tenu de ce qui précède, les charges incompressibles de l'appelant se présentent comme suit : - base mensuelle pour un adulte Fr.   1'200.-- - droit de visite 150.-- - assurance maladie 542.45 - loyer mensuel y compris charges 2'500.-- - intérêts hypothécaires et frais d'entretien 5'850.-- Total Fr. 10'242.45 Le prélèvement du minimum vital de l'appelant sur ses revenus lui laisse un disponible de 7'817 fr. 55 (18'060 fr. - 10'242 fr. 45) par mois.</w:t>
      </w:r>
    </w:p>
    <w:p>
      <w:r>
        <w:rPr>
          <w:b/>
        </w:rPr>
        <w:t>E. 4.8</w:t>
      </w:r>
    </w:p>
    <w:p>
      <w:r>
        <w:t>L'appelant soutient que l'intimée ne déploie pas sa pleine capacité de gain puisqu'elle ne travaille qu'à 45 % et que l'on peut raisonnablement exiger d'elle qu'elle augmente son temps de travail compte tenu de son âge et de celui des filles, dont l'aînée sera majeure au cours de l'année 2011. En l'espèce, […] a quatorze ans. On ne saurait exiger de l'intimée qu'elle augmente en l'état son taux d'activité. On ne peut en principe exiger une activité à plus de 50 % avant que le cadet des enfants ait atteint l'âge de seize ans révolus (ATF 115 II 6, TF 5A_241/2010 du 9 novembre 2010 c. 5.4.3), d'autant que l'appelant prétend que son épouse souffre de fibromyalgie et aurait un état de santé précaire.</w:t>
      </w:r>
    </w:p>
    <w:p>
      <w:r>
        <w:rPr>
          <w:b/>
        </w:rPr>
        <w:t>E. 4.9</w:t>
      </w:r>
    </w:p>
    <w:p>
      <w:r>
        <w:t>Les parties ne remettent pas en cause les postes et le montant du minimum vital de l'intimée retenus par le premier juge, qu'il convient toutefois de corriger s'agissant du montant de base pour un adulte (cf. Lignes directrices précitées). Dès lors, les charges incompressibles de l'intimée se présentent de la manière suivante : - base mensuelle pour un adulte Fr. 1'200.-- - base mensuelle pour deux enfants de plus de 10 ans 1'200.-- - assurance maladie épouse et enfants 778.16 Total Fr. 3'178.16 Rapporté aux ressources de l'intimée (2'245 fr.), le budget de celle-ci accuse un déficit de 933 fr. 16 (2'245 fr. – 3'178 fr. 16) par mois. En définitive, les minima vitaux du couple sont de 13'420 fr. 61     (10'242 fr. 45 + 3'178 fr. 16). Après déduction des revenus (20'305 fr), il reste un disponible de 6'884 fr. 39. En droit, le premier juge a réparti le disponible par moitié. Il s'est référé à cet égard à un arrêt du Tribunal fédéral du 23 juin 1988 (ATF 114 II 26, JT 1991 I 334) selon lequel, en vertu du droit de chaque époux de conserver son train de vie antérieur, il faut des motifs particuliers pour s'écarter de la répartition par moitié du montant qui, après couverture du minimum vital des deux époux, subsiste du revenu à disposition pour l'entretien de l'union conjugale. En l'espèce, la présence de deux enfants auprès de la mère détentrice du droit de garde constitue un motif particulier justifiant une répartition du disponible à raison de 40 % pour l'appelant et de 60 % pour les trois autres membres de la famille. Il en résulte que la contribution de l'appelant à l'entretien des siens doit être fixée à 5'063 fr. 79 (manco de l'intimée de 933 fr. 16 + part à l'excédent de 4'130 fr. 63), montant arrondi à 5'120 francs, qui ne comprend pas les allocations familiales. L'appel doit en conséquence être partiellement admis sur ce point.</w:t>
      </w:r>
    </w:p>
    <w:p>
      <w:r>
        <w:rPr>
          <w:b/>
        </w:rPr>
        <w:t>E. 5</w:t>
      </w:r>
    </w:p>
    <w:p>
      <w:r>
        <w:t>L'appelant conteste le versement d'une provision ad litem.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5P_31/2004 du 26 avril 2004 c. 2.2). Le fondement de cette prestation – devoir d'assistance (art. 159 al. 3 CC) ou obligation d'entretien (art. 163 CC) – est controversé (TF 5P_346/2005 c. 4.3; FamPra.ch 2006 p. 892 n° 130 et les références citées; Bräm, Commentaire zürichois, n. 131 ad art. 159 CC et citations), mais cet aspect n'a pas d'incidence sur les conditions qui président à son octroi. En tout état de cause, selon l'art. 163 al. 1 CC, la loi n'institue plus un devoir général d'entretien à la charge du mari (art. 160 al. 2 aCC; ATF 110 II 116 c. 2a), mais une prise en charge conjointe des besoins de la famille au regard des facultés de chacun des époux (Deschenaux/Steinauer/Baddeley, Les effets du mariage, 2000, p. 221 n. 38 et les références citées; TF 5P_42/2006 du 10 juillet 2007 c. 4). L'appelant, qui ne conteste pas qu'une provision puisse être versée dans le cadre d'une procédure de mesures protectrices de l'union conjugale, fait valoir que le montant de 10'000 fr. est exagéré et que l'intimée pourra faire face aux frais de la procédure au moyen de la contribution d'entretien. En l'espèce, la procédure apparaît particulièrement conflictuelle, avec des contestations sur toutes les questions découlant de la séparation, qu'il s'agisse de la garde des enfants, de l'attribution du domicile conjugal et de la fixation des contributions d'entretien. Les deux parties sont assistées d'avocats chevronnés. Des mesures d'extrême urgence ont précédé le dépôt de la requête de mesures protectrices; plusieurs témoins ont été entendus à l'audience qui s'en est suivie. Enfin, la première décision rendue a fait l'objet d'un appel. Il s'ensuit que l'intimée peut exiger de son conjoint qu'il lui fasse l'avance des frais du procès. Dès lors notamment que la procédure de mesures protectrices de l'union conjugale est gratuite en première instance (art. 37 al. 3 CDPJ [Code de droit privé judiciaire vaudois; RSV 211.02]), et que l'intimée pourra partiellement faire face aux frais de la procédure au moyen de la contribution d'entretien, le montant alloué au titre de provision ad litem par le premier juge doit être réduit à 5'000 francs. Ce grief de l'appelant est en conséquence partiellement admis.</w:t>
      </w:r>
    </w:p>
    <w:p>
      <w:r>
        <w:rPr>
          <w:b/>
        </w:rPr>
        <w:t>E. 6</w:t>
      </w:r>
    </w:p>
    <w:p>
      <w:r>
        <w:t>Au vu de ce qui précède, l'appel doit être partiellement admis et le prononcé réformé dans le sens indiqué ci-dessus.</w:t>
      </w:r>
    </w:p>
    <w:p>
      <w:r>
        <w:rPr>
          <w:b/>
        </w:rPr>
        <w:t>E. 7</w:t>
      </w:r>
    </w:p>
    <w:p>
      <w:r>
        <w:t>Lorsqu'aucune des parties n'obtient entièrement gain de cause, les frais sont répartis selon le sort de la cause (art. 106 al. 2 CPC). Les frais judiciaires de deuxième instance, arrêtés à 1'000 fr. (art. 95 al. 1 let. a CPC, 65 al. 3 TFJC [tarif des frais judiciaires civils du 28 septembre 2010; RSV 270.11.5]), sont mis à la charge de l'appelant par 500 fr. et à la charge de l'intimée par 500 francs. Cela étant, l'intimée devra verser à l'appelant le montant de 500 fr. à titre de restitution d'avance de frais. Pour le surplus, il a lieu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