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314 vom 9. März 2011</w:t>
      </w:r>
    </w:p>
    <w:p>
      <w:r>
        <w:t>VD Tribunal cantonal, 2011-03-09, FR</w:t>
      </w:r>
    </w:p>
    <w:p>
      <w:r>
        <w:rPr>
          <w:b/>
        </w:rPr>
        <w:t xml:space="preserve">Quelle: </w:t>
      </w:r>
      <w:r>
        <w:t>https://mcp.opencaselaw.ch/entscheid/vd_findinfo_HC___2011___314</w:t>
      </w:r>
    </w:p>
    <w:p>
      <w:r>
        <w:t>FR: VD_FINDINFO HC / 2011 / 314 du 9 mars 2011</w:t>
      </w:r>
    </w:p>
    <w:p>
      <w:r>
        <w:t>IT: VD_FINDINFO HC / 2011 / 314 del 9 marzo 2011</w:t>
      </w:r>
    </w:p>
    <w:p>
      <w:pPr>
        <w:pStyle w:val="Heading2"/>
      </w:pPr>
      <w:r>
        <w:t>Regeste</w:t>
      </w:r>
    </w:p>
    <w:p>
      <w:r>
        <w:t>CONTRAT DE TRAVAIL, REMBOURSEMENT DE FRAIS{SENS GÉNÉRAL}, HEURES DE TRAVAIL SUPPLÉMENTAIRES, INDEMNITÉ DE VACANCES, MAINTIEN DU PAIEMENT DU SALAIRE, NOUVEAU MOYEN DE PREUVE, CONCLUSIONS | 324a al. 1 CO, 324a CO, 324b CO, 327a al. 1 CO, 327a CO, 329d al. 1 CO, 329d CO, 452 al. 1 CPC, 456a al. 1 CPC</w:t>
      </w:r>
    </w:p>
    <w:p>
      <w:pPr>
        <w:pStyle w:val="Heading2"/>
      </w:pPr>
      <w:r>
        <w:t>Erwägungen</w:t>
      </w:r>
    </w:p>
    <w:p>
      <w:r>
        <w:rPr>
          <w:b/>
        </w:rPr>
        <w:t>E. 1</w:t>
      </w:r>
    </w:p>
    <w:p>
      <w:r>
        <w:t>a) Le Code de procédure civile suisse du 19 décembre 2008 (ci-après : CPC) est entré en vigueur le 1 er janvier 2011. Toutefois le dispositif du jugement attaqué ayant été envoyé avant cette date, ce sont les règles du Code de procédure civile vaudois du 14 décembre 1966 (ci-après : CPC-VD) qui régissent le présent recours (art. 405 al. 1 CPC; TF 4A_106/2011 du 31 mars 2011 c. 2; TF 4A_80/2011 du 31 mars 2011 c. 2 et 3). b) L'art. 46 aLJT (loi du 17 mai 1999 sur la juridiction du travail) ouvre la voie des recours en nullité et en réforme contre les jugements rendus par un tribunal de prud'hommes selon les art. 444, 445 et 451 CPC-VD. Le recours, uniquement en réforme, interjeté en temps utile, est ainsi recevable.</w:t>
      </w:r>
    </w:p>
    <w:p>
      <w:r>
        <w:rPr>
          <w:b/>
        </w:rPr>
        <w:t>E. 2</w:t>
      </w:r>
    </w:p>
    <w:p>
      <w:r>
        <w:t>a) Selon l'art. 452 al. 1 CPC-VD, les parties ne peuvent prendre en deuxième instance de conclusions nouvelles ou plus amples. En l'espèce, le recourant a conclu en première instance au paiement par l'intimée d'une facture de 33 fr. 90 représentant les communications effectuées pour le compte de celle-ci. Sa conclusion de deuxième instance tendant au paiement en sus d'une part de l'abonnement téléphonique, par 50 fr., est nouvelle et, partant irrecevable, vu la règle de l'art. 452 al. 1 CPC-VD. b) Saisie d'un recours en réforme contre un jugement principal rendu par un tribunal de prud'hommes,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La production de pièces nouvelles en deuxième instance est exclue, à moins qu'elle n'intervienne dans le cadre d'une instruction complémentaire ordonnée par le Tribunal cantonal en application de l'art. 456a CPC-VD,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21 janvier 2010/48 c. 3c/aa; CREC I 17 novembre 2009/579 c. 7e). En l'espèce, l'état de fait du jugement est conforme aux pièces du dossier et aux autres preuves administrées. Il n'y a pas lieu de le compléter ni de procéder à une instruction complémentaire, la cour de céans étant à même de statuer en réforme. Les pièces produites par le recourant en deuxième instance qui ne figurent pas au dossier de première instance sont irrecevables au vu de la jurisprudence susmentionnée. Il appartenait au recourant de les produire devant les premiers juges.</w:t>
      </w:r>
    </w:p>
    <w:p>
      <w:r>
        <w:rPr>
          <w:b/>
        </w:rPr>
        <w:t>E. 3</w:t>
      </w:r>
    </w:p>
    <w:p>
      <w:r>
        <w:t>Le recourant conteste le caractère occasionnel des heures supplémentaires qu'il a effectuées et en déduit que leur rémunération doit être prise en compte dans le calcul de son indemnité de vacances et de son salaire durant la période d'incapacité de travail. a) Selon l'art. 329d al. 1 CO (Code des obligations du 30 mars 1911; RS 220), l'employeur verse au travailleur le salaire total afférent aux vacances et une indemnité équitable en compensation du salaire en nature. La jurisprudence et la doctrine ont déduit de cette disposition que le travailleur ne doit pas être traité différemment, du point de vue salarial, lorsqu'il est en vacances que s'il travaillait. En vertu de ce principe, il est admis que le salaire afférent aux vacances doit être calculé sur la base du salaire mensuel complet. Les indemnités versées notamment à titre d'heures supplémentaires ou pour du travail effectué de nuit ou le dimanche, doivent être prises en compte, pour autant qu'elles aient un caractère régulier et durable. Le fait que, par sa nature, l'activité exercée implique de travailler durant ces périodes est un indice que les indemnités versées en compensation possèdent les caractéristiques précitées (ATF 132 III 172 c. 3.1 et références). Les premiers juges ont retenu que les heures supplémentaires, effectuées chaque mois depuis le début de son engagement, avaient un caractère exceptionnel lié à la nécessité pour le demandeur de prendre ses marques. Ils ont relevé que leur nombre avait régulièrement diminué au fur et à mesure que le demandeur améliorait sa connaissance de la région qu'il devait desservir et se montrait moins lent. Ils ont considéré que tout laissait à penser que le demandeur n'aurait plus eu à effectuer d'heures supplémentaires une fois sa tâche maîtrisée et que le remplacement d'autres chauffeurs n'était qu'occasionnel. Au vu des ces éléments, les premiers juges ont retenu que les heures supplémentaires litigieuses n'étaient pas régulières ni durables au sens de la jurisprudence susmentionnée. Ces considérations, complètes et convaincantes peuvent être confirmées par adoption de motifs (art. 471 al. 3 CPC-VD). Le recourant fait valoir à cet égard en vain que ces heures supplémentaires étaient justifiées - ce qui n'est pas contesté par le jugement - car là n'est pas le critère déterminant pour juger si les heures supplémentaires doivent être comprises dans le calcul du salaire versé durant les vacances : des heures supplémentaires parfaitement justifiées peuvent tout à fait, comme en l'espèce, n'être pas régulières ni durables, et c'est ce dernier critère qui est déterminant selon la jurisprudence susmentionnée. Le recours doit être rejeté sur ce point. b) Les heures supplémentaires litigieuses n'étant pas régulières ni durables, elles n'ont pas davantage à être prises en considération dans le calcul de l'indemnité de salaire en cas d'incapacité de travail (cf. TF 4C.173/2004 du 7 septembre 2004, Jahrbuch des Schweizerischen Arbeitsrechts [JAR] 2005, p. 262; Aubert, Commentaire romand, 2003, n. 44 ad art. 324a CO, p. 1713). Au demeurant, l'art. 324b al. 1 CO prévoit que si le travailleur est assuré obligatoirement en vertu d'une disposition légale contre les conséquences économiques d'un empêchement de travailler, l'employeur ne doit pas le salaire lorsque les prestations d'assurance couvrent les quatre cinquièmes au moins du salaire. L'incapacité de travail du recourant résultant d'un accident, elle était couverte par l'assurance-accidents, obligatoire en vertu de l'art. 1a al. 1 LAA (loi fédérale du 20 mars 1981 sur l'assurance accidents; RS 832.20), de sorte que l'intimée est allée au-delà de ses obligations légales en versant au recourant le plein salaire de 1'500 francs durant sa période d'incapacité de travail. Le recours doit être rejeté sur ce point.</w:t>
      </w:r>
    </w:p>
    <w:p>
      <w:r>
        <w:rPr>
          <w:b/>
        </w:rPr>
        <w:t>E. 4</w:t>
      </w:r>
    </w:p>
    <w:p>
      <w:r>
        <w:t>En ce qui concerne les frais de téléphone du mois d'août 2008, le recourant reproche aux premiers juges de n'avoir pris en considération que des motifs comptables, à l'exclusion de la véracité des frais engagés, et de n'avoir pas tenu compte du fait que l'intimée ne lui a pas demandé de requérir de son opérateur une facturation détaillée. Selon l'art. 327a al. 1 CO, l'employeur rembourse au travailleur tous les frais imposés par l'exécution du travail. Ces frais comprennent en particulier ceux de téléphone (Wyler, Droit du travail, 2 ème éd., 2008, p. 282). Si un remboursement forfaitaire n'a pas été prévu (art. 327a al. 2 CO), il appartient au travailleur de présenter les justificatifs nécessaires (Streiff/von Kaenel, Arbeitsvertrag, 6 ème éd., 2006, n. 8 ad art. 327a CO, p. 336). Le fardeau de la preuve quant à l'existence de ces frais, leur montant ainsi que leur nécessité dans le cadre de l'activité professionnelle repose donc sur le travailleur (ATF 131 III 439 c. 5.1). En l'espèce, le recourant n'a produit en première instance que la facture non détaillée du mois d'août 2008. Cette facture ne permet pas de déterminer la part de ces frais téléphonique en relation avec son activité pour l'intimée. Il y a donc lieu d'admettre que le recourant a échoué dans la preuve de ces frais, qui ne sauraient donc lui être alloués. Il ressort en outre du jugement que l'intimée a demandé au recourant au mois de janvier 2009 de lui fournir une facture détaillée. Enfin, le recourant n'a pas établi un usage professionnel de son téléphone portable au-delà d'une période d'un mois et demi au début des rapports contractuels. Le recours doit être rejeté sur ce point.</w:t>
      </w:r>
    </w:p>
    <w:p>
      <w:r>
        <w:rPr>
          <w:b/>
        </w:rPr>
        <w:t>E. 5</w:t>
      </w:r>
    </w:p>
    <w:p>
      <w:r>
        <w:t>En conclusion, le recours doit être rejeté en application de l'art. 465 al. 1 CPC-VD et le jugement confirmé. La valeur litigieuse ne dépassant pas 30'000 fr., le présent arrêt doit être rendu sans frais (Ducret/Osojnak, in Procédures spéciales vaudoises, 2009, n. 2 ad art. 10 aLJT, p. 257 et références).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w:t>
      </w:r>
    </w:p>
    <w:p>
      <w:r>
        <w:rPr>
          <w:b/>
        </w:rPr>
        <w:t>E. 9</w:t>
      </w:r>
    </w:p>
    <w:p>
      <w:r>
        <w:t>mars 2011 Le dispositif de l'arrêt qui précède est communiqué par écrit aux intéressés. Le greffier : Du L'arrêt qui précède, dont la rédaction a été approuvée à huis clos, est notifié en expédition complète, par l'envoi de photocopies, à : ‑ M. S.________, ‑ Me Pierre-Alain Killias (pour P.________ Sàrl). La Chambre des recours considère que la valeur litigieuse est de 4'965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