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313 vom 18. Mai 2011</w:t>
      </w:r>
    </w:p>
    <w:p>
      <w:r>
        <w:t>VD Tribunal cantonal, 2011-05-18, FR</w:t>
      </w:r>
    </w:p>
    <w:p>
      <w:r>
        <w:rPr>
          <w:b/>
        </w:rPr>
        <w:t xml:space="preserve">Quelle: </w:t>
      </w:r>
      <w:r>
        <w:t>https://mcp.opencaselaw.ch/entscheid/vd_findinfo_HC___2011___313</w:t>
      </w:r>
    </w:p>
    <w:p>
      <w:r>
        <w:t>FR: VD_FINDINFO HC / 2011 / 313 du 18 mai 2011</w:t>
      </w:r>
    </w:p>
    <w:p>
      <w:r>
        <w:t>IT: VD_FINDINFO HC / 2011 / 313 del 18 maggio 2011</w:t>
      </w:r>
    </w:p>
    <w:p>
      <w:pPr>
        <w:pStyle w:val="Heading2"/>
      </w:pPr>
      <w:r>
        <w:t>Regeste</w:t>
      </w:r>
    </w:p>
    <w:p>
      <w:r>
        <w:t>VENTE, GARANTIE EN RAISON DES DÉFAUTS DE LA CHOSE, ACTION RÉDHIBITOIRE, ACTION EN RÉDUCTION DU PRIX | 199 CO, 205 al. 1 CO, 205 al. 2 CO, 320 CPC</w:t>
      </w:r>
    </w:p>
    <w:p>
      <w:pPr>
        <w:pStyle w:val="Heading2"/>
      </w:pPr>
      <w:r>
        <w:t>Erwägungen</w:t>
      </w:r>
    </w:p>
    <w:p>
      <w:r>
        <w:rPr>
          <w:b/>
        </w:rPr>
        <w:t>E. 1</w:t>
      </w:r>
    </w:p>
    <w:p>
      <w:r>
        <w:t>Le jugement attaqué a été rendu le 14 janvier 2011, de sorte que les voies de droit sont régies par le CPC entré en vigueur le 1 er janvier 2011 (art. 405 al. 1 CPC). L'appel n'est recevable que si la valeur litigieuse atteint 10'000 francs (art. 308 al. 2 CPC). En l'espèce, elle est inférieure, de sorte que seul un recours peut être formé contre le jugement attaqué (art. 319 al. 1 let. a CPC). Interjeté en temps utile et conforme aux exigences prévues à l'art. 321 CPC, le présent recours est recevable.</w:t>
      </w:r>
    </w:p>
    <w:p>
      <w:r>
        <w:rPr>
          <w:b/>
        </w:rPr>
        <w:t>E. 2</w:t>
      </w:r>
    </w:p>
    <w:p>
      <w:r>
        <w:t>Le recours est ouvert pour violation du droit et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conteste la thèse du dol. Il n'entreprend toutefois pas de le démontrer se bornant à dire que l'acheteur s'était engagé en toute connaissance de cause dans l'achat d'un véhicule d'occasion dépourvu de garantie. Aux termes de l'art. 199 CO (Code des obligations du 30 mars 1911; RS 220), toute clause qui supprime ou restreint la garantie est nulle si le vendeur a frauduleusement dissimulé à l'acheteur les défauts de la chose. Le jugement attaqué retient, sans que le recourant ne le conteste d'ailleurs, que l'acheteur ignorait lors de la conclusion du contrat l'existence de défauts affectant le véhicule qui résultaient d'un accident, défauts que le vendeur ne pouvait ignorer. Cela revient à dire que le vendeur a caché à l'acheteur que le véhicule avait été accidenté, ce que retient d'ailleurs expressément le premier juge. L'expert a qualifié ces défauts de rédhibitoires, en raison notamment des déformations subies par le véhicule ensuite de l'accident. La bonne foi commandait que le recourant signale à l'acheteur ces défauts, au demeurant cachés pour certains d'entre deux (importante déformation du longeron avant droit) avant la conclusion du contrat, ce qu'il n'a pas fait. Il en résulte que le vendeur a frauduleusement omis de signaler à l'acheteur des circonstances dont la connaissance aurait conduit ce dernier à ne pas contracter, ou à ne pas contracter aux mêmes conditions, de sorte que la clause d'exclusion de garantie ne s'applique pas. Il s'ensuit que le recours doit être rejeté sur ce point.</w:t>
      </w:r>
    </w:p>
    <w:p>
      <w:r>
        <w:rPr>
          <w:b/>
        </w:rPr>
        <w:t>E. 4</w:t>
      </w:r>
    </w:p>
    <w:p>
      <w:r>
        <w:t>Le recourant considère que le premier juge n'a pas tranché le fondement de la demande. Selon l'art. 205 al. 1 CO, le principe de la garantie étant en l'occurrence acquis, l'acheteur a le choix entre l'action rédhibitoire ou l'action en réduction de prix (action minutoire). Le choix exprimé par celui qui se plaint des défauts le lie définitivement (Honsell, in Basler Kommentar, 4 ème éd., 2009, n. 3 ad art. 205 CO, p. 1173). Lorsque l'acheteur a intenté l'action rédhibitoire, le juge peut se borner à réduire le prix s'il estime que la résiliation n'est pas justifiée par les circonstances (art. 205 al. 2 CO). En l'espèce, en retenant l'action rédhibitoire qui constituait la conclusion principale du demandeur, le premier juge a tranché le fondement de la demande (cf. jugement p. 6 c. 2). Il ne change rien à l'affaire qu'une conclusion en réduction de prix ait été prise, par prudence. Cette conclusions subsidiaire ne rend pas irrecevable la conclusion principale. Elle est tout au plus superflue dès lors que l'action rédhibitoire ne prive pas le juge d'examiner si l'action minutoire ne serait pas plus proportionnée aux circonstances (cf. art. 205 al. 2 CO). Le recourant ne prétend pas que le juge aurait dû se borner à retenir l'action minutoire plutôt que l'action rédhibitoire. Le raisonnement du premier juge est correct.</w:t>
      </w:r>
    </w:p>
    <w:p>
      <w:r>
        <w:rPr>
          <w:b/>
        </w:rPr>
        <w:t>E. 5</w:t>
      </w:r>
    </w:p>
    <w:p>
      <w:r>
        <w:t>Le recourant soutient que l'acheteur n'a pas apporté la preuve qu'il tenait le véhicule à la disposition du vendeur. Le jugement retient précisément le contraire (cf. jugement p. 11); en effet l'acheteur a expressément invité le vendeur à venir rechercher le véhicule le 31 juillet 2008 déjà. Dénué de tout fondement, cet argument du recourant est téméraire.</w:t>
      </w:r>
    </w:p>
    <w:p>
      <w:r>
        <w:rPr>
          <w:b/>
        </w:rPr>
        <w:t>E. 6</w:t>
      </w:r>
    </w:p>
    <w:p>
      <w:r>
        <w:t>Le recourant considère enfin qu'il ne s'est rendu coupable d'aucune tentative de dissimulation. Cependant, il n'entreprend pas de le démontrer. Ce dernier moyen doit être rejeté.</w:t>
      </w:r>
    </w:p>
    <w:p>
      <w:r>
        <w:rPr>
          <w:b/>
        </w:rPr>
        <w:t>E. 7</w:t>
      </w:r>
    </w:p>
    <w:p>
      <w:r>
        <w:t>En définitive, le recours doit être rejeté en application de l'art. 322 al. 1 CPC et le jugement de première instance confirmé. Les frais judiciaires de deuxième instance, arrêtés à 400 francs, sont mis à la charge du recourant (art. 69 al. 1 TFJC [tarif du 28 septembre 2010 des frais judiciaires civils; RSV 270.11.5]). Il n'y a pas lieu à allocation de dépens,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F.________ . IV. L'arrêt motivé est exécutoire. Le président :               Le greffier : Du 18 mai 2011 Le dispositif de l'arrêt qui précède est communiqué par écrit aux intéressés. Le greffier : Du L'arrêt qui précède, dont la rédaction a été approuvée à huis clos, est notifié en expédition complète, par l'envoi de photocopies, à : ‑ M. Youri Diserens (pour F.________), ‑ M. Jean-Daniel Nicaty (pour H.________). La Chambre des recours civile considère que la valeur litigieuse est de 5'370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