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305 vom 30. Mai 2011</w:t>
      </w:r>
    </w:p>
    <w:p>
      <w:r>
        <w:t>VD Tribunal cantonal, 2011-05-30, FR</w:t>
      </w:r>
    </w:p>
    <w:p>
      <w:r>
        <w:rPr>
          <w:b/>
        </w:rPr>
        <w:t xml:space="preserve">Quelle: </w:t>
      </w:r>
      <w:r>
        <w:t>https://mcp.opencaselaw.ch/entscheid/vd_findinfo_HC___2011___305</w:t>
      </w:r>
    </w:p>
    <w:p>
      <w:r>
        <w:t>FR: VD_FINDINFO HC / 2011 / 305 du 30 mai 2011</w:t>
      </w:r>
    </w:p>
    <w:p>
      <w:r>
        <w:t>IT: VD_FINDINFO HC / 2011 / 305 del 30 maggio 2011</w:t>
      </w:r>
    </w:p>
    <w:p>
      <w:pPr>
        <w:pStyle w:val="Heading2"/>
      </w:pPr>
      <w:r>
        <w:t>Regeste</w:t>
      </w:r>
    </w:p>
    <w:p>
      <w:r>
        <w:t>EXPULSION DE LOCATAIRE, EFFICACITÉ, RÉSILIATION, RÉSILIATION ABUSIVE, NOUVEAU MOYEN DE PREUVE | 257d al. 1 CO, 317 al. 1 CPC (CH)</w:t>
      </w:r>
    </w:p>
    <w:p>
      <w:pPr>
        <w:pStyle w:val="Heading2"/>
      </w:pPr>
      <w:r>
        <w:t>Erwägungen</w:t>
      </w:r>
    </w:p>
    <w:p>
      <w:r>
        <w:rPr>
          <w:b/>
        </w:rPr>
        <w:t>E. 1</w:t>
      </w:r>
    </w:p>
    <w:p>
      <w:r>
        <w:t>a) L'ordonnance contestée a été rendue le 23 février 2011, de sorte que les voies de droit sont régies par le Code de procédure civile suisse du 19 décembre 2008 (ci-après : CPC; RS 272), entré en vigueur le 1 er janvier 2011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de la seule discothèque atteint 10'000 fr. par mois. L'intimé conclut à l'annulation des congés. La valeur litigieuse, calculée selon les principes susmentionnés dépasse ainsi les 10'000 fr., de sorte que la voie de l'appel est recevable. Interjeté dans le délai de l'art. 311 al. 1 CPC, l'appel est recevable.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 L'état de fait de l'ordonnance attaquée a ainsi été complété sur la base des pièces au dossier de première instance. b) L'intimée a produit en deuxième instance une sommation de l'appelante du 9 mars 2011 portant sur un montant de 122'328 fr. 45, la contestation de dite sommation de l'intimée du 30 mars 2011, les avis de résiliation des baux en cause du 15 avril 2011 et la requête en contestation de ces congés du 10 mai 2011. Ces pièces sont en principe recevables (art. 317 al. 1 CPC; Tappy, Les voies de droit du nouveau Code de procédure civile, JT 2010 III 115, spéc. p. 139). Comme on le verra, elles ne sont toutefois pas déterminantes pour le sort du litige.</w:t>
      </w:r>
    </w:p>
    <w:p>
      <w:r>
        <w:rPr>
          <w:b/>
        </w:rPr>
        <w:t>E. 3</w:t>
      </w:r>
    </w:p>
    <w:p>
      <w:r>
        <w:t>a) L'appelante fait valoir que lorsqu'une sommation porte à la fois sur des loyers échus et non échus, celle-ci n'est pas sans effets si le locataire est invité à s'acquitter de l'arriéré et que celui-ci est déterminable. Elle soutient qu'à la lecture de la sommation du 12 juillet 2010, l'intimée ne pouvait ignorer que les loyers des mois de juin et de juillet 2010 était échu, de sorte que dite sommation a porté effet et que le congé est valable faute de paiement de cet arriéré en temps utile. b/aa) L'art. 257d al. 1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Aux termes de l'art. 7 al. 2 RULV,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cour de céans,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(CREC I 18 février 2010/89; CREC I 28 août 2007/420, résumé in Cahiers du Bail [CdB] 2007, p. 129), L'art. 257d CO présuppose un retard dans le paiement du loyer (Lachat, Commentaire romand, 2003, n. 2 ad art. 257d CO, p. 1332). L'avis comminatoire est dépourvu d'effet s'il porte sur un loyer qui n'est pas encore échu (Lachat, op. cit., n. 5 ad art. 257d CO, p. 1333). En d'autres termes, si le bailleur a des créances qui ne permettent pas l'application de cet article et d'autres qui la permettent, son courrier doit les distinguer de manière précise, de sorte que le locataire puisse reconnaître sans difficulté les dettes à éteindre pour éviter la résiliation du bail (Lachat, Le bail à loyer, 2008, p. 666; CREC I 25 mars 2010/151), la mention du montant de l'arriéré n'étant pas indispensable, l'indication des mois de calendrier suffisant (CdB 2000, p. 107, citant un arrêt du TF du 14 juin 2000). bb) Selon la jurisprudence, est inefficace le congé qui ne satisfait pas aux exigences légales ou contractuelles auxquelles est subordonné son exercice (ATF 135 III 441 c. 3.1 et référence, ATF 121 III 156 précité; TF 4C.116/2005 précité). Le Tribunal fédéral donne comme exemple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précité; TF 4C.116/2005 précité). Dans un arrêt de principe rendu à cinq juges, la Chambre des recours, se fondant sur ces considérations, a jugé inefficace le congé qui repose sur une mise en demeure portant sur un montant disproportionné par rapport au loyer effectivement dû (du simple au double). La Chambre des recours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Une proportion du simple au double entre le montant effectivement dû et celui réclamé a été jugée disproportionnée (CREC I 18 janvier 2006/89 c. 3; confirmé par arrêt rendu à cinq juges CREC I 3 septembre 2010/457 c. 4). c) En l'espèce, les sommations du 12 juillet 2010 ne respectent pas la lettre de l'art. 7 RULV dans la mesure où l'appelante n'a pas procédé aux deux étapes distinctes voulues par la réglementation et la jurisprudence, savoir communiquer au locataire sa volonté d'obtenir le paiement par trimestre d'avance et, pour les loyers non acquittés trimestriellement, notifier ultérieurement la commination à la forme de l'art. 257d CO. En outre, on ne saurait considérer que lesdites sommations sont suffisamment précises pour permettre à la locataire de déterminer la dette à éteindre pour éviter la résiliation de bail. En effet, elles indiquent toutes que les loyers des mois de juin, juillet, août et septembre sont échus. Enfin, à la date des sommations en cause, seuls les loyers des mois de juin et juillet étaient échus, soit un montant total du 21'990 fr. (9'750 + 10'000 + [2 x 600] + [2 x 520]), alors que l'appelante réclamait au total 47'410 fr. (39'750 + 5'260 + 2'400), soit un montant dépassant le double des loyers échus. Vu l'importance de cette différence, il y a lieu d'admettre que l'intimée ne pouvait faire la part des choses et était d'emblée dissuadée de payer quoi que ce soit de ce montant exagéré dont elle ne disposait peut-être pas. Il importe dès lors peu que l'intimée n'ait pas réglé dans le délai comminatoire les loyers effectivement échus. La solution du premier juge doit donc être confirmée.</w:t>
      </w:r>
    </w:p>
    <w:p>
      <w:r>
        <w:rPr>
          <w:b/>
        </w:rPr>
        <w:t>E. 4</w:t>
      </w:r>
    </w:p>
    <w:p>
      <w:r>
        <w:t>En conclusion, l'appel doit être rejeté et l'ordonnance confirmée. Vu l'issue du litige, les frais judiciaires de deuxième instance, fixés à 1'474 fr. (art. 62 al. 1 et 3 TFJC [tarif du 28 septembre 2010 des frais judiciaires civils; RSV 270.11.5]), sont mis à la charge de l'appelante (art. 106 al. 1 CPC). Obtenant gain de cause, l'intimée à droit à des dépens de deuxième instance, fixés à 1'500 fr. (art. 106 al. 1 CPC; art. 7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