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304 vom 24. Mai 2011</w:t>
      </w:r>
    </w:p>
    <w:p>
      <w:r>
        <w:t>VD Tribunal cantonal, 2011-05-24, FR</w:t>
      </w:r>
    </w:p>
    <w:p>
      <w:r>
        <w:rPr>
          <w:b/>
        </w:rPr>
        <w:t xml:space="preserve">Quelle: </w:t>
      </w:r>
      <w:r>
        <w:t>https://mcp.opencaselaw.ch/entscheid/vd_findinfo_HC___2011___304</w:t>
      </w:r>
    </w:p>
    <w:p>
      <w:r>
        <w:t>FR: VD_FINDINFO HC / 2011 / 304 du 24 mai 2011</w:t>
      </w:r>
    </w:p>
    <w:p>
      <w:r>
        <w:t>IT: VD_FINDINFO HC / 2011 / 304 del 24 maggio 2011</w:t>
      </w:r>
    </w:p>
    <w:p>
      <w:pPr>
        <w:pStyle w:val="Heading2"/>
      </w:pPr>
      <w:r>
        <w:t>Regeste</w:t>
      </w:r>
    </w:p>
    <w:p>
      <w:r>
        <w:t>OBLIGATION D'ENTRETIEN | 137 al. 2 CC, 176 al. 1 ch. 1 CC, 308 al. 1 let. b CPC (CH)</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ibid. pp. 136-137).</w:t>
      </w:r>
    </w:p>
    <w:p>
      <w:r>
        <w:rPr>
          <w:b/>
        </w:rPr>
        <w:t>E. 1.3</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15; Hohl, Procédure civile Tome II, 2 ème éd., n. 2410 p. 437).</w:t>
      </w:r>
    </w:p>
    <w:p>
      <w:r>
        <w:rPr>
          <w:b/>
        </w:rPr>
        <w:t>E. 2.1</w:t>
      </w:r>
    </w:p>
    <w:p>
      <w:r>
        <w:t>L'appelant soutient qu'il n'y aurait aucune raison particulière de prévoir, comme l'a fait le premier juge, la rétroactivité des contributions d'entretien antérieurement au dépôt de la requête de mesures provisionnelles. Selon l'art. 137 al. 2 CC (Code civil suisse du 10 décembre 1907; RS 210), lequel, bien qu'abrogé au 31 décembre 2010, continue à s'appliquer aux procédure de divorce soumises à l'ancien droit (Tappy, Le droit transitoire applicable lors de l'introduction de la nouvelle procédure unifiée, JT 2010 III 14), chacun des époux peut demander au juge d'ordonner les mesures provisoires nécessaires. Une contribution peut être demandée pour l'avenir et pour l'année précédant le dépôt de la requête. La rétroactivité à une date antérieure au dépôt de la requête de mesures provisoires ne se justifie que s'il existe des motifs particuliers (TF 5A_485/2008 du 1 er décembre 2008 c. 2.2; ATF 111 II 103 c. 4). Un engagement de l'époux d'informer immédiatement son épouse des modifications de sa situation financière constitue une telle circonstance. Au surplus, même si la requête de mesures provisoires est déposée moins d'un an après l'ouverture d'action en divorce, elle peut aboutir à l'allocations de contributions pour une période où cette procédure n'avait pas encore été introduite, pour autant que le juge des mesures protectrices de l'union conjugale n'ait pas été saisi au sujet de la même période (Tappy, Commentaire romand, n. 23 ad art. 137 CC; ATF 129 III 60, JT 2003 I 45). La décision attaquée retient que l'appelant perçoit un salaire depuis le mois d'août 2010 et qu'il s'était engagé à l'audience du 15 janvier 2010 à informer son épouse des modifications de sa situation financière. Le chiffre IV de la convention du 15 janvier 2010 précise d'ailleurs que l'époux s'engageait à informer immédiatement son épouse si son revenu devait dépasser le minimum vital. C'est donc en vain que l'appelant prétend que l'intimée aurait dû déduire de ses versements mensuels de 200 fr. que sa situation financière s'était améliorée alors qu'il n'a pas respecté son engagement de renseigner son épouse. Il s'ensuit que le paiement de la contribution d'entretien depuis le 1 er août 2010, sous déduction des montants déjà versés, est pleinement justifié. Ce moyen doit en conséquence être rejeté.</w:t>
      </w:r>
    </w:p>
    <w:p>
      <w:r>
        <w:rPr>
          <w:b/>
        </w:rPr>
        <w:t>E. 2.2</w:t>
      </w:r>
    </w:p>
    <w:p>
      <w:r>
        <w:t>L'appelant soutient ensuite que la contribution mensuelle d'entretien devrait être fixée à 440 fr., soit 220 fr. par enfant, selon la méthode dite de répartition de l'excédent. S'agissant de contributions fixées exclusivement en faveur des enfants, le juge statue d'office et n'est pas lié par les conclusions des parties (art. 296 CPC; Hohl, Procédure civile, Tome II, 2 ème éd.., n. 2415 p. 438). La jurisprudence de la cour de céans part en règle générale, pour calculer la contribution d'entretien d'un enfant, d'un pourcentage du revenu mensuel ou de la capacité de gain du débiteur de la pension, fixé en fonction du nombre d'enfants bénéficiaires. Pour un enfant en bas âge, cette proportion est évaluée à environ 15 à 17% du revenu mensuel net de l'intéressé, 25 à 27% pour deux enfants, 30 à 35% pour trois enfants et 40% pour quatre enfants (Bastons Bullettti, L'entretien après divorce : méthodes de calcul, montant, durée et limites, in SJ 2007 II 77 ss., spéc. p. 107s.; Revue Suisse de jurisprudence [RSJ] 1984, pp. 392-393, note ad     n° 4; Meier/Stettler, Droit de la filiation,</w:t>
      </w:r>
    </w:p>
    <w:p>
      <w:r>
        <w:rPr>
          <w:b/>
        </w:rPr>
        <w:t>E. 4</w:t>
      </w:r>
    </w:p>
    <w:p>
      <w:r>
        <w:t>Les frais judiciaires de deuxième instance sont arrêtés à 600 fr. (art. 63 TFJC [tarif des frais judiciaires civils du 28 septembre 2010; RSV 270.11.5]). Ils sont laissés à la charge de l'Etat, l'appelant, au bénéfice de l'assistance judiciaire, succombant (122 al. 1 let b CPC). L'intimée n'ayant pas procédé, il ne sera pas alloué de dépens. Vu la liste des opérations et débours pour la procédure d'appel produite le 24 mai 2011 par le conseil de l'appelant, une indemnité d'office à hauteur de 781 fr. 60, TVA et débours compris, est accordée à Me Genier Müller. Enfin, le bénéficiaire de l'assistance judiciaire est, dans la mesure de l'art. 123 CPC, tenu au remboursement des frais judiciaires et de l'indemnité du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Genier Müller est arrêtée à 720 fr. (sept cent vingt francs), plus 57 fr. 60 (cinquante-sept  francs et soixante centimes) de TVA et 4 fr. (quatre francs) de débours. V. Le bénéficiaire de l'assistance judiciaire est, dans la mesure de l'art. 123 CPC, tenu au remboursement des frais judiciaires et de l'indemnité du conseil d'office mis à la charge de l'Etat. VI. L'arrêt motivé est exécutoire. Le juge délégué : Le greffier : Du 24 mai 2011 Le dispositif de l'arrêt qui précède est communiqué par écrit aux intéressés. Le greffier : Du L'arrêt qui précède, dont la rédaction a été approuvée à huis clos, est notifié en expédition complète, par l'envoi de photocopies à : ‑ Mme Sandra Genier Müller (pour O.________) ‑ M. Fabien Mingard (pour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