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303 vom 10. Juni 2011</w:t>
      </w:r>
    </w:p>
    <w:p>
      <w:r>
        <w:t>VD Tribunal cantonal, 2011-06-10, FR</w:t>
      </w:r>
    </w:p>
    <w:p>
      <w:r>
        <w:rPr>
          <w:b/>
        </w:rPr>
        <w:t xml:space="preserve">Quelle: </w:t>
      </w:r>
      <w:r>
        <w:t>https://mcp.opencaselaw.ch/entscheid/vd_findinfo_HC___2011___303</w:t>
      </w:r>
    </w:p>
    <w:p>
      <w:r>
        <w:t>FR: VD_FINDINFO HC / 2011 / 303 du 10 juin 2011</w:t>
      </w:r>
    </w:p>
    <w:p>
      <w:r>
        <w:t>IT: VD_FINDINFO HC / 2011 / 303 del 10 giugno 2011</w:t>
      </w:r>
    </w:p>
    <w:p>
      <w:pPr>
        <w:pStyle w:val="Heading2"/>
      </w:pPr>
      <w:r>
        <w:t>Regeste</w:t>
      </w:r>
    </w:p>
    <w:p>
      <w:r>
        <w:t>AVANCE DE FRAIS, DÉCISION D'IRRECEVABILITÉ | 132 al. 1 CPC (CH), 43 CDPJ</w:t>
      </w:r>
    </w:p>
    <w:p>
      <w:pPr>
        <w:pStyle w:val="Heading2"/>
      </w:pPr>
      <w:r>
        <w:t>Volltext</w:t>
      </w:r>
    </w:p>
    <w:p>
      <w:r>
        <w:t>Vaud Tribunal cantonal Cour d'appel civile 10.06.2011 HC / 2011 / 303</w:t>
      </w:r>
    </w:p>
    <w:p>
      <w:r>
        <w:t>AVANCE DE FRAIS, DÉCISION D'IRRECEVABILITÉ | 132 al. 1 CPC (CH), 43 CDPJ</w:t>
      </w:r>
    </w:p>
    <w:p>
      <w:r>
        <w:t>TRIBUNAL CANTONAL 115 JUGE DELEGUé DE LA cour d’appel CIVILE _________________________________________________________ Arrêt du 10 juin 2011 ___________________ Présidence de               M. Abrecht , juge délégué Greffier : Mme              Logoz ***** Art. 101 al. 3 et 132 al. 1 CPC; 43 al. 1 let. b et c CDPJ Vu le jugement rendu le 4 mai 2011 par défaut de la défenderesse par le Président du Tribunal civil d'arrondissement de l'Est vaudois dans la cause divisant le Registre du commerce du canton de Vaud d'avec W.________ et ordonnant la dissolution de dite société et sa liquidation par l'Office des faillites d'Aigle selon les dispositions légales applicables à la faillite, vu l'appel exercé le 10 mai 2011 et signé par la société L.________, qui déclare agir pour le compte d'W.________, vu les art. 101 al. 3 et 132 CPC (Code de procédure civile suisse du 19 décembre 2008; RS 272), vu l'art. 43 al. 1 let. b et c CDPJ (Code de droit privé judiciaire vaudois du 12 janvier 2010, RSV 211.01); Attendu que par lettre recommandée du 16 mai 2011, la cour de céans a renvoyé l'acte d'appel à L.________ en l'invitant à le faire contresigner par un organe ayant qualité pour engager l'appelante W.________ ou à produire une procuration, dans un délai de cinq jours dès réception de ladite lettre, faute de quoi l'acte ne serait pas pris en considération (art. 132 al. 2 CPC), que dans le délai imparti, L.________ a fait contresigner l'acte d'appel par le directeur de l'appelante, bénéficiant de la signature individuelle, que par lettre du 16 mai 2011, la cour de céans a également invité L.________ à effectuer jusqu'au 31 mai 2011 l'avance de frais pour le dépôt de la requête d'appel, que l'avance n'a pas été réglée dans ce délai, que par lettre recommandée du 15 juin 2011, un délai supplémentaire non prolongeable échéant le 27 juin 2011 a été imparti à l'appelante pour effectuer dite avance de frais, sous peine d'irrecevabilité, conformément à l'art. 101 al. 3 CPC, que l'avance de frais n'a pas été effectuée dans le délai supplémentaire imparti, qu'il n'y a dès lors pas lieu d'entrer en matière sur la requête, la cause étant rayée du rôle, que le présent arrêt peut être rendu sans frais, Par ces motifs, le juge délégué de la Cour d’appel civile du Tribunal cantonal, statuant à huis clos, en application de l'art. 43 al.1 let. b CDPJ prononce : I. L’appel est irrecevable. II. L'arrêt, rendu sans frais, est exécutoire, ainsi que le jugement de première instance. III. la cause est rayée du rôle. Le juge délégué : Le greffier : Du L'arrêt qui précède, dont la rédaction a été approuvée à huis clos, est notifié en expédition complète, par l'envoi de photocopies, à : ‑ L.________ (pour W.________), ‑ Registre du commerce du canton de Vaud. Le juge délégué de la Cour d’appel civile considère que la valeur litigieuse est de 110'000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