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295 vom 12. Mai 2011</w:t>
      </w:r>
    </w:p>
    <w:p>
      <w:r>
        <w:t>VD Tribunal cantonal, 2011-05-12, FR</w:t>
      </w:r>
    </w:p>
    <w:p>
      <w:r>
        <w:rPr>
          <w:b/>
        </w:rPr>
        <w:t xml:space="preserve">Quelle: </w:t>
      </w:r>
      <w:r>
        <w:t>https://mcp.opencaselaw.ch/entscheid/vd_findinfo_HC___2011___295</w:t>
      </w:r>
    </w:p>
    <w:p>
      <w:r>
        <w:t>FR: VD_FINDINFO HC / 2011 / 295 du 12 mai 2011</w:t>
      </w:r>
    </w:p>
    <w:p>
      <w:r>
        <w:t>IT: VD_FINDINFO HC / 2011 / 295 del 12 maggio 2011</w:t>
      </w:r>
    </w:p>
    <w:p>
      <w:pPr>
        <w:pStyle w:val="Heading2"/>
      </w:pPr>
      <w:r>
        <w:t>Regeste</w:t>
      </w:r>
    </w:p>
    <w:p>
      <w:r>
        <w:t>PROTECTION DE L'UNION CONJUGALE, OBLIGATION D'ENTRETIEN, REVENU HYPOTHÉTIQUE | 176 al. 1 ch. 1 CC, 308 al. 1 let. b CPC (CH), 310 CPC (CH), 317 al. 1 CPC (CH)</w:t>
      </w:r>
    </w:p>
    <w:p>
      <w:pPr>
        <w:pStyle w:val="Heading2"/>
      </w:pPr>
      <w:r>
        <w:t>Erwägungen</w:t>
      </w:r>
    </w:p>
    <w:p>
      <w:r>
        <w:rPr>
          <w:b/>
        </w:rPr>
        <w:t>E. 1</w:t>
      </w:r>
    </w:p>
    <w:p>
      <w:r>
        <w:t>B.L.________ et A.L.________, se sont mariés en 1995. Ils sont les parents de deux enfants prénommés C.L.________, né le 23 octobre 1997, et A.C.________, née le 18 mars 2003.</w:t>
      </w:r>
    </w:p>
    <w:p>
      <w:r>
        <w:rPr>
          <w:b/>
        </w:rPr>
        <w:t>E. 2</w:t>
      </w:r>
    </w:p>
    <w:p>
      <w:r>
        <w:t>Par prononcé de mesures protectrices de l'union conjugale du 8 juin 2010, le Président du Tribunal civil de l'arrondissement de l'Est vaudois a autorisé les époux B.L.________ à vivre séparés pour une durée indéterminée (I), confié la garde des enfants à la mère (II), fixé les modalités du droit de visite accordé au père (III), attribué la jouissance du domicile conjugal à A.L.________ jusqu'au 31 août 2010, puis à B.L.________ à partir de cette date (IV), et fixé la contribution d'entretien due par celui-ci à l'entretien des siens à 695 fr.  dès le 1 er mars 2010 (VI). Par requête de mesures protectrices de l'union conjugale déposée le 15 septembre 2010, A.L.________ a conclu notamment à l'augmentation de la contribution d'entretien précitée au montant minimal de 2'200 fr., allocations familiales non comprises (IV). A la suite de l'appel interjeté par B.L.________, le Tribunal civil d'arrondissement a, par arrêt du 12 octobre 2010, confirmé le prononcé du 8 juin 2010, à l'exception des modalités du droit de visite qu'il a redéfinies.</w:t>
      </w:r>
    </w:p>
    <w:p>
      <w:r>
        <w:rPr>
          <w:b/>
        </w:rPr>
        <w:t>E. 3</w:t>
      </w:r>
    </w:p>
    <w:p>
      <w:r>
        <w:t>L'appelante conteste la quotité de la contribution qui lui a été allouée. a) Selon l'art. 176 al. 1 ch. 1 CC (Code civil du 10 décembre 1907; RS 210), relatif à l'organisation de la vie séparée des époux, le montant de la contribution d'entretien se détermine en fonction des facultés économiques et des besoins respectifs de ceux-ci. Dans la mesure où des enfants sont concernés, le juge ordonne les mesures nécessaires, d'après les effets de la filiation (art. 176 al. 3 CC), notamment au regard des art. 276 al. 1 et 2 et 285 al. 1 CC (TF 5A_511/2010 du 4 février 2011 c. 2.1 et réf. citées). Pour déterminer le montant de la contribution à partir des revenus et charges du débiteur d'entretien, le législateur n'a pas arrêté de mode de calcul pour ce faire. L'une des méthodes que préconise la doctrine et qui est considérée comme conforme au droit fédéral,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5A_46/2009 du 22 mai 2009 c. 4; TF 5A_515/2008 du 1 er décembre 2008 c. 2.1; ATF 114 II 26), à moins que l'un des époux ne subvienne aux besoins d'enfants mineurs communs (ATF 126 III 8 c. 3c et les arrêts cités) ou que des circonstances importantes ne justifient de s'en écarter (ATF 119 II 314 c. 4 b/bb). ba) En l'espèce, lors du calcul de la contribution d'entretien, le premier juge a considéré que le revenu de l'intimé ne dépassait pas 3'430 fr. par mois. L’appelante conteste ce point de vue, faisant valoir que, grâce à sa formation d’économiste d’entreprise et s'il s'efforçait de trouver un emploi salarié à temps complet, l'intéressé pourrait réaliser un gain de quelque 8'000 fr. par mois. Selon la jurisprudence, le juge fixe les contributions d'entretien en se fondant, en principe, sur le revenu effectif du débiteur. Il peut toutefois s'en écarter et imputer au débiteur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sauf si le débiteur s'abstient par mauvaise volonté, par négligence ou s'il renonce volontairement à réaliser un revenu suffisant pour assurer l'entretien de sa famille (ATF 128 III 4 c. 4a et les références citées; JT 2002 I 294). En l'espèce, il est constant que, jusqu'au mois de juin 2011, l'intimé occupera une fonction de municipal à mi-temps et qu'il sera donc empêché de rechercher un emploi à plein temps jusqu'à ce terme, étant relevé qu'il n'existe de toute manière guère, sur le marché de l'emploi, de postes à temps partiel correspondant à sa formation d'économiste d'entreprise. Au reste, l’appelante n’établit pas que l'intimé aurait occupé par le passé des emplois de cet ordre qu’il lui suffirait de renouveler. Au contraire, il ressort plutôt d’un rapport du Service de protection de la jeunesse (SPJ) du 24 novembre 2009 (cf. pièce 9 du bordereau de l’appelante du 15 septembre 2010) que, dès avant la naissance de sa fille en 2003, l’intimé exerçait déjà une activité d’indépendant dans le domaine de la vente d’articles pour garagistes. Par conséquent, qu’il ait été déclaré en faillite en 2008, comme l’allègue l’appelante (cf. appel ch. 23 p. 4), n’exclut pas qu’il puisse se créer, dans un domaine qu'il connaît, une situation plus facilement qu'en recherchant un emploi salarié. A tout le moins, le premier juge n’a-t-il pas abusé de son pouvoir d’appréciation en admettant qu'il fallait laisser à l'intimé une période d’adaptation jusqu’à la fin du mois de juin 2011 avant « de juger s’il y a lieu qu’il entreprenne une autre activité » (cf. ord., p. 8). Le moyen invoqué à ce titre par l'appelante doit par conséquent, en l'état, être rejeté. bb) L’appelante s’en prend ensuite au montant de 1'550 fr. que le premier juge a retenu au titre des frais de logement de l’intimé, savoir 1'000 fr. de loyer « en nature » et 550 fr. de frais pour sa consommation de gaz (cf. ord., p. 8). L’intimé occupe seul un chalet dont il est copropriétaire avec sa sœur. La mère des deux intéressés bénéficie d’un droit d’habitation qu’elle n’exerce pas. Selon l’acte constitutif de ce droit, elle supporte les frais ordinaires d’entretien et les dépenses d’exploitation, l’impôt foncier et les autres contributions foncières se rapportant à l'immeuble (cf. pièce 2 du bordereau du 11 mai 2010 précité). L'intimé a déclaré au premier juge que sa mère prenait à sa charge « le solde de la charge hypothécaire et les services industriels » (cf. ord., p. 8), étant relevé qu'on ne s’explique pas pourquoi il s'agirait d’un "solde" dès lors que l'intimé a exposé qu’il ne s’acquittait d’un loyer qu’en payant certaines factures relatives à l’entretien, ainsi, le remplacement d’un chauffe-eau. Il convient donc de déduire de ce qui précède que l’intimé n’a pas de loyer à charge. Que sa mère soit en mesure de ne pas réclamer de loyer pour le chalet en cause ressort au surplus d’une lettre que le conseil de celle-ci a adressée aux parties le 8 mars 2010, dans laquelle il relève que la jouissance du chalet leur a été laissée gracieusement depuis de nombreux mois (cf. pièce 4 du bordereau du 11 mai 2010). Par ailleurs, l’intimé produit une facture d’appareilleur relative à la pose et au raccordement d’un chauffe-eau neuf dans le chalet qu’il occupe. Il n’établit cependant pas que ses besoins en eau chaude n’auraient pu être satisfaits à moindre coût par une réparation, remarque qui vaut également pour un devis concernant la cuisinière neuve, ni qu’un contrat en vertu duquel il serait tenu d'effectuer de tels investissements le lierait à sa mère. De toute manière, on ne voit pas que la contribution d’entretien en faveur de l’appelante et de ses enfants devrait dépendre de choix de l’intimé dans l’aménagement de son logement. Il faut plutôt considérer que l’intimé ne s’acquitte d’aucun loyer, qu’il est opportun, vu la situation financière très délicate de son épouse et de ses enfants, qu’il s’accommode de certains dysfonctionnements dans son chalet et qu’on doit donc se borner à estimer les dépenses courantes telles que gaz, eau, électricité et petites réparations, dont on peut admettre qu’elles sont à sa charge. A cet égard, un montant de 500 fr. par mois paraît adéquat, abstraction devant être faite d’arriérés (cf. ord., pp. 8 et 9) et sans qu’il soit nécessaire de donner suite à la réquisition de production de pièces formée par l’appelante à ce sujet. bc) Ainsi, un nouveau calcul de la contribution d'entretien litigieuse doit  être effectué comme il suit : - du revenu de l’intimé de 3'430 fr. doivent être déduits le montant de base minimum mensuel pour un adulte de 1'200 fr., les frais occasionnés par l'exercice du droit de visite de 150 fr., 310 fr. de prime d'assurance-maladie et 500 fr. de charges au titre de l'occupation du chalet, de sorte que subsiste un disponible de 1'270 fr. - du salaire de l’appelante de 2'670 fr. doivent être retranchés le montant de base minimum mensuel pour les enfants de 1'000 fr., celui, pour elle-même, de 1'350 fr., 35 fr. à titre de la quote-part aux primes d'assurance-maladie, 500 fr. de frais de transport, 100 fr. de frais de garderie, décompte laissant apparaître un découvert de 1'665 fr. Compte tenu des chiffres précités, la contribution d’entretien à la charge de l’intimé doit être fixée à 1'270 fr., de façon à sauvegarder son minimum vital. La situation des parties pourra être revue dès l’échéance du mois de juin fixée par le premier juge, eu égard à l’évolution de l’activité indépendante de l’intimé.</w:t>
      </w:r>
    </w:p>
    <w:p>
      <w:r>
        <w:rPr>
          <w:b/>
        </w:rPr>
        <w:t>E. 4</w:t>
      </w:r>
    </w:p>
    <w:p>
      <w:r>
        <w:t>Il s'ensuit qu'en définitive, l'appel doit être partiellement admis, l'ordonnance réformée au chiffre I de son dispositif, en ce sens que B.L.________ contribuera à l'entretien des siens par le régulier versement d'une pension mensuelle, payable d'avance le premier de chaque mois, en mains de A.L.________, d'un montant de 1'270 fr., allocations familiales non comprises, dès le 1er janvier 2011, et confirmée pour le surplus. Les frais judiciaires de deuxième instance, arrêtés à 300 fr. pour chacune des parties (art. 65 al. 2 TFJC [Tarif du 28 septembre 2010 des frais judiciaires civils; RSV 270.11.5], sont laissés à la charge de l'Etat. Vu l'admission des requêtes d'assistance judiciaire de l'appelante et de l'intimé, formulées dans le cadre de la présente procédure, leurs conseils d'office qui ont, chacun, produit leur liste d'opérations et débours, ont droit, pour la mission qu'ils ont menée, à une indemnité d'office correspondant à une rémunération équitable (art. 122 al. 2 CPC et 2 du règlement sur l'assistance judiciaire en matière civile; RSV 211.02.3]) qu'il convient d'arrêter au montant de 1'591 fr. 90 pour le conseil de l'appelante et à celui de 896 fr. 40 pour le conseil de l'intimé, TVA et débours compris. Dans la mesure de l'art. 123 CPC, les bénéficiaires de l'assistance judiciaire sont tenus au remboursement des frais judiciaires et de l'indemnité à leur conseil d'office mis à la charge de l'Etat. Par ailleurs, l'appelante ayant obtenu gain de cause sur la question des frais de logement de l'intimé, mais ayant succombé sur celle du revenu de celui-ci, les dépens de deuxième instance sont compensés. Par ces motifs, le juge délégué de la Cour d’appel civile du Tribunal cantonal, statuant à huis clos, prononce : I. L'appel est partiellement admis. II. L'ordonnance est réformée comme il suit au chiffre I de son dispositif : I. dit que B.L.________ contribuera à l'entretien des siens par le régulier versement d'une pension mensuelle, payable d'avance le premier de chaque mois en mains de A.L.________, d'un montant de 1'270 fr. (mille deux cent septante francs), allocations familiales non comprises, dès le 1er janvier 2011. Elle est confirmée pour le surplus. III. La requête d'assistance de l'intimé est admise, Me Irène Wettstein Martin étant désignée conseil d'office avec effet au 29 avril 2011 dans la procédure d'appel. IV. Les frais judiciaires de deuxième instance, arrêtés à 300 fr. (trois cents francs) pour l'appelante et à 300 fr. (trois cents francs) pour l'intimé, sont laissés à la charge de l'Etat. V. L'indemnité d'office de Me Laure Chappaz, conseil de l'appelante, est arrêtée à 1'591 fr. 90 (mille cinq cent nonante et un francs et nonante centimes), et celle de Me Irène Wettstein Martin, conseil de l'intimé à 896 francs 40 (huit cent nonante-six francs et quarante centimes). VI. Les bénéficiaires de l'assistance judiciaire sont, dans la mesure de l'art. 123 CPC, tenus au remboursement des frais judiciaires et de l'indemnité au conseil d'office mis à la charge de l'Etat. VII. Les dépens de deuxième instance sont compensés. VIII. L'arrêt motivé est exécutoire. Le juge délégué : La greffière : Du 16 mai 2011 Le dispositif de l'arrêt qui précède est communiqué par écrit aux intéressés. La greffière : Du L'arrêt qui précède, dont la rédaction a été approuvée à huis clos, est notifié en expédition complète, par l'envoi de photocopies à : ‑ Me Laure Chappaz (pour A.L.________), ‑ Me Irène Wettstein Martin (pour B.L.________).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