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294 vom 8. Juni 2011</w:t>
      </w:r>
    </w:p>
    <w:p>
      <w:r>
        <w:t>VD Tribunal cantonal, 2011-06-08, FR</w:t>
      </w:r>
    </w:p>
    <w:p>
      <w:r>
        <w:rPr>
          <w:b/>
        </w:rPr>
        <w:t xml:space="preserve">Quelle: </w:t>
      </w:r>
      <w:r>
        <w:t>https://mcp.opencaselaw.ch/entscheid/vd_findinfo_HC___2011___294</w:t>
      </w:r>
    </w:p>
    <w:p>
      <w:r>
        <w:t>FR: VD_FINDINFO HC / 2011 / 294 du 8 juin 2011</w:t>
      </w:r>
    </w:p>
    <w:p>
      <w:r>
        <w:t>IT: VD_FINDINFO HC / 2011 / 294 del 8 giugno 2011</w:t>
      </w:r>
    </w:p>
    <w:p>
      <w:pPr>
        <w:pStyle w:val="Heading2"/>
      </w:pPr>
      <w:r>
        <w:t>Regeste</w:t>
      </w:r>
    </w:p>
    <w:p>
      <w:r>
        <w:t>APPEL AU PUBLIC, APPEL AUX CRÉANCIERS, APPEL EN CAUSE, MOYEN DE DROIT CANTONAL | 308 al. 2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non patrimoniales, le présent appel est recevable. En l'espèce, on peut se demander si le code de procédure civile laisse la place à des mesures provisionnelles ordonnées au sein d'une procédure de mesures protectrices qui relève elle-même des mesures provisionnelles. On ne peut l'exclure d'emblée : s'il est possible de rendre des mesures provisionnelles sans entendre même l'autre partie, il devrait aussi s'avérer concevable de rendre des mesures provisionnelles ou superprovisionnelles après que les parties aient été entendues en audience. Dès lors qu'en l'occurrence toutefois les mesures préprotectrices ont été rendues après audience, elles constituent matériellement des mesures protectrices de sorte que l'appel est recevable (cf. Reetz/Theiler, in Kommentar zur Schweizerischen Zivilprozessordnung [ZPO], n. 34 ad. art. 308 CPC qui n'excluent l'appel que contre les mesures préprotectrices rendues sans audition de la partie adverse).</w:t>
      </w:r>
    </w:p>
    <w:p>
      <w:r>
        <w:rPr>
          <w:b/>
        </w:rPr>
        <w:t>E. 1.2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 ou portent sur des questions qui doivent être examinées d'office.</w:t>
      </w:r>
    </w:p>
    <w:p>
      <w:r>
        <w:rPr>
          <w:b/>
        </w:rPr>
        <w:t>E. 1.3</w:t>
      </w:r>
    </w:p>
    <w:p>
      <w:r>
        <w:t>L'appel peut être formé pour violation du droit ou constatation inexacte des faits (art. 310 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1.4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 e éd., n. 2415 p. 438). En l'espèce, à partir du moment où le couple a un enfant mineur, le litige est régi par la maxime inquisitoire illimitée de l'art. 296 CPC (Hohl, op. cit., nn. 1166 ss et 2414 ss). Les pièces produites par chacune des parties devraient donc être considérées comme des novas susceptibles d'être examinés par le juge de l'appel en application de l'art. 317 al. 1 CPC. Peu importe toutefois, vu ce qui suit.</w:t>
      </w:r>
    </w:p>
    <w:p>
      <w:r>
        <w:rPr>
          <w:b/>
        </w:rPr>
        <w:t>E. 2</w:t>
      </w:r>
    </w:p>
    <w:p>
      <w:r>
        <w:t>Selon la manière dont on qualifie la décision rendue, le premier juge a, soit rendu une décision de mesures provisionnelles avant mesures protectrices qui n'était pas requise, soit décidé d'office de disjoindre une partie des mesures protectrices alors qu'une telle disjonction n'avait pas été requise, que les parties n'ont été interpellées ni entendues à ce propos et qu'on peut enfin se demander si la procédure sommaire applicable aux procédures de mesures protectrices laisse réellement la place à une telle décision de disjonction. Surtout, il était inadéquat, sinon arbitraire, d'attribuer le logement conjugal à l'une des parties en instruisant et en se prononçant dans les considérants sur des questions relatives aux relations de l'enfant avec chacun des parents et en fondant l'attribution du logement conjugal sur l'intérêt et le bien-être d'un enfant qui n'avait pas encore été entendu et à propos duquel il n'avait pas encore été statué. Le sort des conclusions de mesures protectrices étant indissociable du sort de l'enfant, il était indispensable en l'espèce de suspendre les débats pour que celui-ci puisse être entendu. Pour les motifs qui précèdent, l'appel doit être admis et l'ordonnance de mesures provisionnelles du 28 avril 2011 annulée.</w:t>
      </w:r>
    </w:p>
    <w:p>
      <w:r>
        <w:rPr>
          <w:b/>
        </w:rPr>
        <w:t>E. 3</w:t>
      </w:r>
    </w:p>
    <w:p>
      <w:r>
        <w:t>Les frais judiciaire de deuxième instance sont arrêtés à 600 fr. (art. 65 al. 2 TFJC [tarif des frais judiciaires civils du 28 septembre 2010; RSV 270.11.5]). Vu l'issue de cette procédure, ils peuvent être laissés à la charge de l'Etat (art. 107 al. 2 CPC). L'appelante a droit à des dépens d'appel dont le principe et le montant relèvent de la procédure fédérale (art. 405 al. 1 CPC). Ils comprennent les frais judiciaires et les dépens (art. 95 al. 1 CPC). Ils sont fixés d'office (art. 105 CPC), selon le tarif (art. 96 CPC) des dépens en matière civile (TDC [tarif des dépens en manière civile du 23 novembre 2010; RS 270.11.66]).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l'appelante, qui n'a pas produit de liste de frais (art. 105 al. 2 CPC), à 1'000 francs. Par prononcé du 23 mai 2011, l'appelante a obtenu l'assistance judiciaire dans la procédure d'appel. Son conseil doit être rémunéré équitablement pour les opérations nécessaires à l'appel (art. 122 al. 2 CPC et 2 du règlement sur l'assistance judiciaire en matière civile), par 885 fr. 60 selon le décompte suivant : 720 fr. d'honoraires, 100 fr. de débours et 65.60 de TVA au taux 2011 de 8%. La bénéficiaire de l'assistance est, dans la mesure de l'art. 123 CPC, tenue au remboursement des frais judiciaires et de l'indemnité au conseil d'office mise à la charge de l'Etat. Par ces motifs, le juge délégué de la Cour d’appel civile du Tribunal cantonal, statuant à huis clos, prononce : I. L’appel est admis. II. L'ordonnance de mesures provisionnelles avant mesures protectrices du 28 avril 2011 est annulée. III. Les frais judiciaires de deuxième instance, arrêtés à 600 fr. (six cents francs), sont laissés à la charge de l'Etat. IV. Le montant de l'indemnité due au conseil d'office de l'appelante T.________ est fixé à 885 fr. 60 (huit cent huitante-cinq francs et soixante centimes). V. La bénéficiaire de l'assistance judiciaire est, dans la mesure de l'art. 123 CPC,  tenue au remboursement des frais judiciaires et de l'indemnité au conseil d'office mise à la charge de l'Etat. VI. L'intimé M.________ doit verser à l'appelante T.________ la somme de 1'000 fr. (mille francs), à titre de dépens de deuxième instance. VII. L'arrêt motivé est exécutoire. Le juge délégué : Le greffier : Du juin 2011 L'arrêt qui précède, dont la rédaction a été approuvée à huis clos, est notifié en expédition complète, par l'envoi de photocopies à : ‑ Me Véronique Fontana (pour T.________), ‑ Me Eduardo Redondo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