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291 vom 18. Januar 2011</w:t>
      </w:r>
    </w:p>
    <w:p>
      <w:r>
        <w:t>VD Tribunal cantonal, 2011-01-18, FR</w:t>
      </w:r>
    </w:p>
    <w:p>
      <w:r>
        <w:rPr>
          <w:b/>
        </w:rPr>
        <w:t xml:space="preserve">Quelle: </w:t>
      </w:r>
      <w:r>
        <w:t>https://mcp.opencaselaw.ch/entscheid/vd_findinfo_HC___2011___291</w:t>
      </w:r>
    </w:p>
    <w:p>
      <w:r>
        <w:t>FR: VD_FINDINFO HC / 2011 / 291 du 18 janvier 2011</w:t>
      </w:r>
    </w:p>
    <w:p>
      <w:r>
        <w:t>IT: VD_FINDINFO HC / 2011 / 291 del 18 gennaio 2011</w:t>
      </w:r>
    </w:p>
    <w:p>
      <w:pPr>
        <w:pStyle w:val="Heading2"/>
      </w:pPr>
      <w:r>
        <w:t>Regeste</w:t>
      </w:r>
    </w:p>
    <w:p>
      <w:r>
        <w:t>LOCATAIRE, RESPONSABILITÉ CONTRACTUELLE, FARDEAU DE LA PREUVE, APPRÉCIATION DES PREUVES, PRINCIPE D'ALLÉGATION, MAXIME INQUISITOIRE, ADMINISTRATION DES PREUVES | 8 CC, 274d CO, 53 CO, 4 CPC, 451 ch. 2 CPC, 12 al. 2 LTB, 13 LTB</w:t>
      </w:r>
    </w:p>
    <w:p>
      <w:pPr>
        <w:pStyle w:val="Heading2"/>
      </w:pPr>
      <w:r>
        <w:t>Erwägungen</w:t>
      </w:r>
    </w:p>
    <w:p>
      <w:r>
        <w:rPr>
          <w:b/>
        </w:rPr>
        <w:t>E. 5</w:t>
      </w:r>
    </w:p>
    <w:p>
      <w:r>
        <w:t>Le 29 octobre 2007, C.________ a déposé une demande par devant la Cour civile du Tribunal cantonal concluant à la condamnation de K.________ au versement de la somme de 203'615 fr. 76 à titre de dommage relatif aux travaux de remise en état de l'immeuble, 25'052 fr. 30 à titre de dommage relatif à la direction des travaux et à 3'207 fr. 07 à titre de dommage relatif à la perte locative de l'immeuble, le tout avec intérêt à 5 % l'an dès le 30 juillet 2004. Par mémoire du 4 février 2008, K.________ a conclu à ce que C.________ soit débouté en toutes ses conclusions. C.________ a répliqué par acte du 15 mai 2008. K.________ a dupliqué par mémoire du 9 juillet 2008. C.________ s'est déterminé par acte du 11 septembre 2008. A l'audience préliminaire de la Cour civile du 16 mars 2009, les prénommés sont convenus de régler conventionnellement la question de la compétence de dite Cour, en ce sens que l'intégralité du dossier de la cause a été transmise à la Commission de conciliation du district de Vevey, la demande du 27 octobre 2007 étant considérée comme la requête et les autres écritures comme des déterminations, les frais et dépens suivant le sort de la cause au fond. A l'audience du 22 juin 2009, la Commission de conciliation en matière de baux à loyer du district de Vevey a vainement tenté la conciliation.</w:t>
      </w:r>
    </w:p>
    <w:p>
      <w:r>
        <w:rPr>
          <w:b/>
        </w:rPr>
        <w:t>E. 6</w:t>
      </w:r>
    </w:p>
    <w:p>
      <w:r>
        <w:t>En définitive, le recours doit être rejeté en application de l'art. 465 al. 1 CPC-VD, et le jugement confirmé. Les frais de deuxième instance du recourant sont arrêtés à 2'618 fr. (art. 232 al. 1 TFJC [tarif du 4 décembre 1984 des frais judiciaires en matière civile]). Par ces motifs, la Chambre des recours du Tribunal cantonal, statuant à huis clos, en application de l'art. 465 al. 1 CPC, prononce : I. Le recours est rejeté. II. Le jugement est confirmé. III. Les frais de deuxième instance du recourant K.________ sont arrêtés à 2'618 fr. (deux mille six cent dix-huit francs). IV. L'arrêt motivé est exécutoire. Le président :               Le greffier : Du 18 janvier 2011 Le dispositif de l'arrêt qui précède est communiqué par écrit aux intéressés. Le greffier : Du L'arrêt qui précède, dont la rédaction a été approuvée à huis clos, est notifié en expédition complète, par l'envoi de photocopies, à : ‑ Me Daniel Pache (pour K.________), ‑ Me Stefano Fabbro (pour C.________). La Chambre des recours considère que la valeur litigieuse est de 231'875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