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288 vom 19. Mai 2011</w:t>
      </w:r>
    </w:p>
    <w:p>
      <w:r>
        <w:t>VD Tribunal cantonal, 2011-05-19, FR</w:t>
      </w:r>
    </w:p>
    <w:p>
      <w:r>
        <w:rPr>
          <w:b/>
        </w:rPr>
        <w:t xml:space="preserve">Quelle: </w:t>
      </w:r>
      <w:r>
        <w:t>https://mcp.opencaselaw.ch/entscheid/vd_findinfo_HC___2011___288</w:t>
      </w:r>
    </w:p>
    <w:p>
      <w:r>
        <w:t>FR: VD_FINDINFO HC / 2011 / 288 du 19 mai 2011</w:t>
      </w:r>
    </w:p>
    <w:p>
      <w:r>
        <w:t>IT: VD_FINDINFO HC / 2011 / 288 del 19 maggio 2011</w:t>
      </w:r>
    </w:p>
    <w:p>
      <w:pPr>
        <w:pStyle w:val="Heading2"/>
      </w:pPr>
      <w:r>
        <w:t>Regeste</w:t>
      </w:r>
    </w:p>
    <w:p>
      <w:r>
        <w:t>AVANCE DE FRAIS, RESTITUTION DU DÉLAI | 153 CPC, 154 CPC, 90 al. 1 CPC, 13 TFJC</w:t>
      </w:r>
    </w:p>
    <w:p>
      <w:pPr>
        <w:pStyle w:val="Heading2"/>
      </w:pPr>
      <w:r>
        <w:t>Erwägungen</w:t>
      </w:r>
    </w:p>
    <w:p>
      <w:r>
        <w:rPr>
          <w:b/>
        </w:rPr>
        <w:t>E. 1</w:t>
      </w:r>
    </w:p>
    <w:p>
      <w:r>
        <w:t>La décision attaquée a été rendue le 15 février 2011, de sorte que les voies de droit sont régies par le CPC (Code de procédure civile du 19 décembre 2008; RS 272), entré en vigueur le 1 er janvier 2011 (art. 405 al. 1 CPC).</w:t>
      </w:r>
    </w:p>
    <w:p>
      <w:r>
        <w:rPr>
          <w:b/>
        </w:rPr>
        <w:t>E. 2</w:t>
      </w:r>
    </w:p>
    <w:p>
      <w:r>
        <w:t>L’appel est recevable contre les décisions finales (art. 308 al. 1 er let. a CPC) portant sur une valeur litigieuse supérieure à 10'000 fr. (art. 308 al. 2 CPC). Le délai pour l’introduction de l’appel est de trente jours à compter de la notification de la décision motivée (art. 314 al. 1 er CPC). Formé en temps utile par une partie qui y a intérêt et portant sur des conclusions qui sont supérieures à 10'000 fr., le présent appel est recevable.</w:t>
      </w:r>
    </w:p>
    <w:p>
      <w:r>
        <w:rPr>
          <w:b/>
        </w:rPr>
        <w:t>E. 3</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 elle n'est pas liée par les motifs invoqués par les parties ou par le tribunal de première instance. Son pouvoir d'examen est plein et entier (ibidem, n. 2396, p. 435).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 op. cit., JT 2010 III 136-137).</w:t>
      </w:r>
    </w:p>
    <w:p>
      <w:r>
        <w:rPr>
          <w:b/>
        </w:rPr>
        <w:t>E. 4</w:t>
      </w:r>
    </w:p>
    <w:p>
      <w:r>
        <w:t>a) La procédure litigieuse, ouverte avant le 31 décembre 2010, est soumise en première instance à la procédure civile vaudoise (art. 404 al. 1 CPC). Chaque partie doit faire l'avance des émoluments et des frais pour toute opération de l'office requise par elle ou ordonnée par le juge pour établir ses allégations (art. 90 al. 1 CPC-VD [Code de procédure civile vaudois du 14 décembre 1966; RSV 270.11] et art. 13 al. 1 aTFJC [ancien tarif des frais judiciaires en matière civile]). La partie qui ne fait pas l'avance dans le délai fixé est déchue du droit de requérir l'opération (art. 90 al. 3 CPC-VD). Cette déchéance entraîne, de par la loi, la caducité de la demande, lorsque l'avance de frais n'a pas été réglée en temps utile (JICC, 5 juillet 2002, 166/2002/JCL). De manière générale, lorsque la recevabilité d'un acte de procédure est subordonnée au versement d'une avance de frais, il n'y a pas de rigueur excessive à ne pas entrer en matière sur ledit acte lorsque l'avance n'a pas été effectuée, pour autant que le justiciable ait été averti de façon appropriée du montant à verser, du délai imparti pour le paiement et des conséquences de l'inobservation de ce délai (ATF 104 Ia 105 c. 5, JT 1980 I 322; ATF 96 I 521 c. 4; JT 1972 I 216; TF 1P.724/2006 du 10 janvier 2007 c. 2). Selon la jurisprudence, la partie peut obtenir la restitution du délai d'avance de frais de la demande par le biais de la réforme (JT 2005 III 118). b) En l'espèce, un délai au 16 novembre 2010 a été imparti à l'appelant pour effectuer l'avance de frais pour le dépôt de la demande, étant précisé qu'il ne serait procédé à aucune opération avant que le paiement ait été effectué, référence étant faite aux art. 90 CPC-VD et 13 aTFJC. On peut laisser ici ouverte la question de savoir si cette formulation rendait la partie suffisamment attentive aux conséquences de l'inobservation de ce délai, quand bien même le renvoi aux art. 90 CPC-VD et 13 aTFJC devait être suffisamment clair pour le mandataire professionnel de l'appelant. Par courrier du 29 décembre 2010, le Tribunal d'arrondissement de Lausanne a constaté que l'émolument de demande n'avait pas été avancé dans le délai fixé et qu'en l'état le demandeur était déchu du droit à la notification de cette écriture. Il précisait que, sous réserve de restitution par voie de réforme qui serait requise d'ici le 20 janvier 2011, il constaterait cette déchéance et ordonnerait que la cause soit rayée du rôle. Ce faisant, il agissait de manière conforme à la jurisprudence JT 2005 III 118. Cet avis rendait l'appelant suffisamment attentif aux conséquences de l'inobservation du délai imparti et de ce qu'il ne suffisait pas de régler l'avance de frais dans ce délai, mais qu'une restitution par voie de réforme était nécessaire.</w:t>
      </w:r>
    </w:p>
    <w:p>
      <w:r>
        <w:rPr>
          <w:b/>
        </w:rPr>
        <w:t>E. 5</w:t>
      </w:r>
    </w:p>
    <w:p>
      <w:r>
        <w:t>a) L'appelant fait valoir que les termes de "restitution par voie de réforme" sont peu compréhensibles, même pour un avocat. b) La réforme est l'institution prévue par le Code de procédure civile vaudois pour permettre au plaideur négligent de rattraper un délai ou rectifier une erreur, lorsque les conditions prévues à l'art. 36 CPC-VD ne sont pas réalisées (art. 153 al. 1 CPC-VD; BGC automne 1966 p. 719). La même partie ne peut au demeurant se réformer que deux fois au plus dans la même instance (art. 157 al. 1 CPC-VD). Cette limitation n'est pas édictée uniquement dans le but de protéger l'autre partie contre des procédés dilatoires, mais également dans l'intérêt général, qui commande d'éviter un allongement des procès. Elle a dès lors un caractère impératif (JT 1987 III 45). Il existe ainsi un intérêt digne de protection à exiger du plaideur négligent qui a omis un délai d'avance de frais qu'il rattrape son erreur par le biais de la réforme et utilise ainsi l'un de ses deux droits à la réforme dans le cours de la même procédure, ce qui contribue ainsi globalement à la célérité des procès. c) En l'espèce, on peut exiger d'un avocat, même établi dans un autre canton, qui entend pratiquer dans le canton de Vaud, de comprendre que la restitution de délai par voie de réforme se réfère aux art. 153 ss CPC-VD et nécessite une requête incidente (art. 154 CPC-VD). C'est dès lors en vain qu'il soutient que la demande de réforme pourrait résulter d'actes concluants. Par ailleurs, c'est à tort qu'il soutient, au vu de la jurisprudence précitée, qu'il ne pourrait y avoir de procédure incidente de réforme pour la restitution de l'avance de frais. Pour le surplus, il n'était pas excessivement formaliste d'exiger de l'appelant qu'il procède par la voie de la réforme, après qu'il n'a pas respecté le délai qui lui avait été initialement imparti. L'appelant ne prétend à juste titre pas que le délai aurait dû lui être restitué en application de l'art. 36 CPC-VD, dès lors qu'il ne peut faire valoir des motifs légitimes au sens de l'art. 36 al. 2 CPC-VD. La prétendue confusion qu'il invoque dans les diverses factures reçues en raison des trois procédures qu'il a ouvertes ne constitue à l'évidence pas un tel motif. Ayant ouvert trois procédures, l'appelant devait s'attendre à ce que trois avances de frais distinctes lui soient demandées. Elles portent d'ailleurs des numéros de référence différents. La première avance a été requise avant même le dépôt de la deuxième demande, ici litigieuse. Quant à l'avance ici discutée, elle a été requise avant le dépôt de la troisième demande, au surplus déposée devant une autre autorité. Il ne pouvait dès lors y avoir de doute sur la procédure visée par l'avance litigieuse.</w:t>
      </w:r>
    </w:p>
    <w:p>
      <w:r>
        <w:rPr>
          <w:b/>
        </w:rPr>
        <w:t>E. 6</w:t>
      </w:r>
    </w:p>
    <w:p>
      <w:r>
        <w:t>Enfin, l'appelant fait valoir que la sanction serait disproportionnée en tant qu'elle priverait le justiciable des droits qu'il entend faire valoir en application de l'art. 336b CO. Si le droit de procédure ne peut exclure directement que le plaideur ne puisse faire valoir une prétention en justice par une nouvelle action pour le seul motif qu'il y a eu défaut de versement de l'avance de frais (ATF 104 Ia 105 c. 5; JT 1980 I 322), il importe peu que l'irrecevabilité d'une demande selon le droit de procédure ait comme conséquence indirecte la perte éventuelle d'un droit matériel en vertu du droit fédéral applicable au fond. Si la perte de ce droit repose sur une négligence du mandataire de la partie, c'est la responsabilité de ce dernier qui est cas échéant susceptible d'être engagée. En conclusion, l'appel doit être rejeté et la décision de première instance confirmée.</w:t>
      </w:r>
    </w:p>
    <w:p>
      <w:r>
        <w:rPr>
          <w:b/>
        </w:rPr>
        <w:t>E. 7</w:t>
      </w:r>
    </w:p>
    <w:p>
      <w:r>
        <w:t>Les frais judiciaires de deuxième instance sont arrêtés 1'800 fr. (art. 62 al. 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