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28 vom 18. Dezember 2008</w:t>
      </w:r>
    </w:p>
    <w:p>
      <w:r>
        <w:t>VD Tribunal cantonal, 2008-12-18, FR</w:t>
      </w:r>
    </w:p>
    <w:p>
      <w:r>
        <w:rPr>
          <w:b/>
        </w:rPr>
        <w:t xml:space="preserve">Quelle: </w:t>
      </w:r>
      <w:r>
        <w:t>https://mcp.opencaselaw.ch/entscheid/vd_findinfo_HC___2011___28</w:t>
      </w:r>
    </w:p>
    <w:p>
      <w:r>
        <w:t>FR: VD_FINDINFO HC / 2011 / 28 du 18 décembre 2008</w:t>
      </w:r>
    </w:p>
    <w:p>
      <w:r>
        <w:t>IT: VD_FINDINFO HC / 2011 / 28 del 18 dicembre 2008</w:t>
      </w:r>
    </w:p>
    <w:p>
      <w:pPr>
        <w:pStyle w:val="Heading2"/>
      </w:pPr>
      <w:r>
        <w:t>Regeste</w:t>
      </w:r>
    </w:p>
    <w:p>
      <w:r>
        <w:t>EXÉCUTION DES PEINES ET DES MESURES | 106 al. 5 CP, 36 CP, 27 LEP</w:t>
      </w:r>
    </w:p>
    <w:p>
      <w:pPr>
        <w:pStyle w:val="Heading2"/>
      </w:pPr>
      <w:r>
        <w:t>Erwägungen</w:t>
      </w:r>
    </w:p>
    <w:p>
      <w:r>
        <w:rPr>
          <w:b/>
        </w:rPr>
        <w:t>E. 1</w:t>
      </w:r>
    </w:p>
    <w:p>
      <w:r>
        <w:t>Selon les art. 106 al. 5 CP (Code pénal du 21 décembre 1937, RS 311.0), 36 al. 2 CP et 27 al. 1 LEP (Loi sur l'exécution des condamnations pénales du 4 juillet 2006, RSV 340.01), le Juge d'application des peines est compétent pour statuer sur la conversion en une peine privative de liberté, d'une amende ou d'une peine pécuniaire lorsqu'elle est restée impayée et qu'elle est inexécutable par la voie de la poursuite pour dettes.</w:t>
      </w:r>
    </w:p>
    <w:p>
      <w:r>
        <w:rPr>
          <w:b/>
        </w:rPr>
        <w:t>E. 1.1</w:t>
      </w:r>
    </w:p>
    <w:p>
      <w:r>
        <w:t>En vertu de l'art. 38 al. 1 LEP, sa décision peut faire l'objet d'un recours auprès de la Cour de cassation. La procédure applicable devant dite Cour est celle régie par les art. 485m ss CPP (Code de procédure pénale du 12 septembre 1967, RSV 312.01; cf. art. 39 LEP). Le recours s'exerce par écrit dans les dix jours dès la notification de la décision attaquée (art. 485n al. 1 CPP). L'acte de recours doit être signé et indiquer les conclusions et motifs du recours (art. 485n al. 3 CPP).</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1.3</w:t>
      </w:r>
    </w:p>
    <w:p>
      <w:r>
        <w:t>En l'occurrence, le recours a été interjeté en temps utile auprès de l'autorité compétente. Le recourant ne formule cependant aucune conclusion expresse. Il se contente de contester le bien-fondé de l'amende prononcée à son encontre et de rappeler les graves problèmes de santé auxquels il est confronté, sans toutefois expliquer si sa situation financière a subi une péjoration. On comprend néanmoins qu'il conclut implicitement à la réforme du prononcé attaqué en ce sens que la conversion de l'amende impayée en peine privative de liberté de substitution n'est pas ordonnée. Le recours est dès lors recevable en la forme.</w:t>
      </w:r>
    </w:p>
    <w:p>
      <w:r>
        <w:rPr>
          <w:b/>
        </w:rPr>
        <w:t>E. 2</w:t>
      </w:r>
    </w:p>
    <w:p>
      <w:r>
        <w:t>En préambule, il sied de rappeler que H.________ n'est pas fondé, à ce stade la procédure, à contester le principe même de l'amende qui lui a été infligée par la Commune de Montreux. En effet, la sentence municipale n’a fait l’objet d’aucun appel au moment où elle a été rendue et, comme telle, elle est entrée en force. Le juge de la conversion n'avait pas à statuer sur le bien-fondé de l'amende prononcée et seule demeure aujourd'hui litigieuse la question du caractère inexécutable de celle-ci.</w:t>
      </w:r>
    </w:p>
    <w:p>
      <w:r>
        <w:rPr>
          <w:b/>
        </w:rPr>
        <w:t>E. 2.1</w:t>
      </w:r>
    </w:p>
    <w:p>
      <w:r>
        <w:t>Selon l'art. 36 al. 3 CP, applicable par analogie à l'exécution et à la conversion de l'amende (art. 106 al. 5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 soit de porter le délai de paiement à 24 mois au plus (a), soit de réduire le montant du jour-amende (b), soit d'ordonner un travail d'intérêt général (c).</w:t>
      </w:r>
    </w:p>
    <w:p>
      <w:r>
        <w:rPr>
          <w:b/>
        </w:rPr>
        <w:t>E. 2.2</w:t>
      </w:r>
    </w:p>
    <w:p>
      <w:r>
        <w:t>En l'occurrence, l'extrait des actes de défaut de biens établi le 14 avril 2009 (pièce 3) indique que le recourant se trouve dans une situation financière difficile déjà depuis une longue période (août 1989) avec des actes de défaut de biens délivrés à son encontre à hauteur de 50'389 fr. 80. Ainsi, sa situation matérielle était largement obérée avant le prononcé d'amende dont il est question en l'espèce. Certes, des poursuites ont été encore interjetées à son encontre et des actes de défaut de biens délivrés, après décembre 2008, mais ils ne démontrent pas une aggravation notable de sa situation qui est très difficile depuis de nombreuses années. Au surplus, H.________ ne fait pas valoir que sa situation financière se soit dégradée sans faute de sa part depuis ce moment, se contentant d'affirmer que sa santé s'est largement détériorée en 2009 et 2010. Ces motifs ne permettent cependant pas de renoncer à la conversion de la peine, H.________ pouvant requérir de l'Office d'exécution des peines qu'il soit tenu compte de ses problèmes de santé. C’est à juste titre, dans ces circonstances, que le Juge d’application des peines a converti l’amende impayée en peine privative de liberté. Partant, le moyen est mal fondé et doit être rejeté. On précisera en dernier lieu que l'intéressé a toujours la possibilité de s'acquitter des montants dus pour éviter l'exécution de la peine de deux jours de privation de liberté prononcée à son encontre (cf. art. 36 al. 1 in fine CP et le Message y relatif in FF 1998 1787 ss, spéc. 1823).</w:t>
      </w:r>
    </w:p>
    <w:p>
      <w:r>
        <w:rPr>
          <w:b/>
        </w:rPr>
        <w:t>E. 3</w:t>
      </w:r>
    </w:p>
    <w:p>
      <w:r>
        <w:t>En définitive, le recours de H.________ doit être rejeté et la décision attaquée confirmée, en application de l'art. 485t al. 2 CPP. Vu l'issue du recours, les frais de deuxième instance seront mis à sa charge (art.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