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276 vom 10. Mai 2011</w:t>
      </w:r>
    </w:p>
    <w:p>
      <w:r>
        <w:t>VD Tribunal cantonal, 2011-05-10, FR</w:t>
      </w:r>
    </w:p>
    <w:p>
      <w:r>
        <w:rPr>
          <w:b/>
        </w:rPr>
        <w:t xml:space="preserve">Quelle: </w:t>
      </w:r>
      <w:r>
        <w:t>https://mcp.opencaselaw.ch/entscheid/vd_findinfo_HC___2011___276</w:t>
      </w:r>
    </w:p>
    <w:p>
      <w:r>
        <w:t>FR: VD_FINDINFO HC / 2011 / 276 du 10 mai 2011</w:t>
      </w:r>
    </w:p>
    <w:p>
      <w:r>
        <w:t>IT: VD_FINDINFO HC / 2011 / 276 del 10 maggio 2011</w:t>
      </w:r>
    </w:p>
    <w:p>
      <w:pPr>
        <w:pStyle w:val="Heading2"/>
      </w:pPr>
      <w:r>
        <w:t>Regeste</w:t>
      </w:r>
    </w:p>
    <w:p>
      <w:r>
        <w:t>DIVORCE, OBLIGATION D'ENTRETIEN, CONJOINT | 125 CC, 163 CC, 176 CC, 276 al. 1 CPC (CH)</w:t>
      </w:r>
    </w:p>
    <w:p>
      <w:pPr>
        <w:pStyle w:val="Heading2"/>
      </w:pPr>
      <w:r>
        <w:t>Erwägungen</w:t>
      </w:r>
    </w:p>
    <w:p>
      <w:r>
        <w:rPr>
          <w:b/>
        </w:rPr>
        <w:t>E. 1</w:t>
      </w:r>
    </w:p>
    <w:p>
      <w:r>
        <w:t>La décision attaquée a été rendue le 28 février 2011, de sorte que les voies de droit sont régies par le CPC (Code de procédure civile du 19 décembre 2008; RS 272), entré en vigueur le 1 er janvier 2011 (art. 405 al. 1 CPC).</w:t>
      </w:r>
    </w:p>
    <w:p>
      <w:r>
        <w:rPr>
          <w:b/>
        </w:rPr>
        <w:t>E. 2</w:t>
      </w:r>
    </w:p>
    <w:p>
      <w:r>
        <w:t>L’appel est recevable contre les décisions de première instance sur les mesures provisionnelles (art. 308 al. 1 er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er CPC). L'appel formé contre les décisions sur mesures provisionnelles et sur mesures protectrices de l'union conjugale relève de la compétence d'un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 ,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Schweizerische Zivilprozessordnung, Bâle 2010, n. 7 ad art. 317 CPC; Reetz/Hilber, Kommentar zur Schweizerischen Zivilprozessordnung, Zurich-Bâle-Genève 2010,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En l’espèce, l’appelant n’a pas allégué que le juge de première instance aurait violé la maxime inquisitoire. Par ailleurs, il n’y a pas d’enfants mineurs concernés par le divorce.</w:t>
      </w:r>
    </w:p>
    <w:p>
      <w:r>
        <w:rPr>
          <w:b/>
        </w:rPr>
        <w:t>E. 4</w:t>
      </w:r>
    </w:p>
    <w:p>
      <w:r>
        <w:t>a) L’appelant rappelle que les époux ont vécu ensemble moins de trois ans, qu’ils sont séparés depuis le 5 novembre 2008 déjà et qu’ils n’ont pas eu d’enfants. Ils ne reprendront jamais la vie commune. Dans ces circonstances, les règles du divorce doivent s’appliquer déjà au stade des mesures provisionnelles et notamment le principe du "clean break". Dès lors, il considère que l’intimée n’a droit à aucune pension. En outre, il souligne que celle-ci multiplie les procédés dilatoires pour pouvoir bénéficier de la pension obtenue dans le cadre des mesures protectrices de l'union conjugale. L’intimée, quant à elle, se borne à décrire les charges et revenus de chacune des parties. Constatant que le solde disponible de l’appelant est de 4'300 fr. par mois, elle requiert le rejet de l’appel. b) Le principe et le montant de la contribution d'entretien due selon l'art. 176 al. 1 ch. 1 CC (Code civil suisse du 10 décembre 1907; RS 210), applicable par analogie aux mesures provisoires (art. 137 al. 2 CC abrogé au 1 er janvier 2011, respectivement l'art. 276 al. 1 CPC), se déterminent en fonction des facultés économiques et des besoins respectifs des époux (ATF 121 I 97 c. 3b; 118 II 376 c. 20b et les références citées). La situation d’un couple séparé, totalement désuni, doit s’apprécier en s’inspirant des principes régissant l’hypothèse d’un divorce (ATF 130 III 537 c. 3.2, JT 2005 I 111; ATF 128 III 65 c. 4a, JT 2002 I 459), en particulier l’art. 125 CC.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JT 2009 I 627).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même si le mariage a été de relative courte durée – deux ans dans le cas jugé par le Tribunal fédéral -, pour autant qu’elle n’ait pas pour effet de faire bénéficier l’intéressée d’un niveau de vie supérieur à celui mené par le couple durant la vie commune (TF 5A_409/2007 du 14 novembre 2007 et références citées). Le principe d’égalité de traitement des époux en cas de vie séparée ne doit en effet pas conduire à ce que, par le biais d’un partage par moitié du revenu global, se produise un déplacement de patrimoine qui anticiperait sur la liquidation du régime matrimonial (ATF 114 II 26 c. 8 spéc. p. 31 ss, JT 1991 I 334). Pour que le juge puisse s’écarter d’une répartition par moitié de l’excédent, il faut donc qu’il soit établi que les époux n’ont pas consacré, durant la vie commune, la totalité du revenu à l’entretien de la famille (ATF 119 II 314 c. 4b spéc. p. 317 ss, JT 1996 I 197). Il incombe en principe au créancier de la contribution d’entretien de préciser les dépenses nécessaires au maintien de son train de vie et de les rendre vraisemblables (TF 5A_732/2007 du 4 avril 2008, c. 2.2 et les références citées). Cette jurisprudence concerne néanmoins le cas d’une épouse qui a bénéficié d’un train de vie confortable pendant la vie commune et qui allègue avoir droit à plus de 50% de l’excédent pour couvrir ses dépenses. On peut cependant admettre qu’en application de la règle générale sur le fardeau de la preuve (art. 8 CC) - même si le degré de preuve est limité à la simple vraisemblance et qu’il suffit que les faits soient rendus vraisemblables (ATF 127 III 474 c. 2b/bb spéc. p. 478 et les références cités, JT 2002 I 352; cf. également Christoph Leuenberger, Glaubhaftmachen, in Beweis im Zivilprozess, Berne 2000, p. 112; Leuenberger/Uffer-Tobler, Kommentar zur Zivilprozessordnung des Kantons St. Gallen, Berne 1999, n. 6b ad art. 197; Hasenböhler, Commentaire bâlois, n. 2 ad art. 179 CC) - il appartiendra au débiteur de l’entretien de rendre vraisemblable qu’une répartition de l’excédent par moitié permettrait à la créancière d’aliments d’avoir un train de vie plus confortable que pendant la vie commune si c’est lui qui conteste le principe ou le montant de cette contribution. c) En l’espèce, comme l’a admis le premier juge, l’intimée déploie une pleine capacité de gain en réalisant un revenu mensuel de 3'640 fr. en sa qualité de maman de jour. Ce revenu est, du reste, supérieur à celui qu’elle réalisait lorsque les parties se sont rencontrées. L’appelant n'a d'ailleurs pas allégué que son épouse pourrait réaliser un revenu plus élevé. Le calcul des salaires et des charges respectives des conjoints n’est pas contesté en appel. Seule est litigieuse la question de l’application de la méthode de répartition de l’excédent. L’appelant estime que le mariage, de courte durée, n’a pas eu d’impact sur la situation financière de l’intimée. C’est oublier que le mariage n’est pas encore dissout et que l’art. 163 al. 1 CC demeure applicable pour autant que l’intimée ne bénéficie pas d’un train de vie supérieur. A cet égard, il n’y a au dossier aucun élément permettant d’établir le train de vie antérieur des époux. Dans la mesure où l’appelant conteste que l’excédent soit partagé par moitié, il lui incombait d’alléguer, respectivement de rendre vraisemblable qu’un tel partage avait pour effet de faire bénéficier son épouse d’un train de vie plus confortable que celui dont elle jouissait pendant la vie commune, ce qu’il n’a pas fait. En conséquence, l’appel doit être rejeté et, l'ordonnance attaquée, confirmée.</w:t>
      </w:r>
    </w:p>
    <w:p>
      <w:r>
        <w:rPr>
          <w:b/>
        </w:rPr>
        <w:t>E. 5</w:t>
      </w:r>
    </w:p>
    <w:p>
      <w:r>
        <w:t>Les frais judiciaires de deuxième instance sont arrêtés à 600 fr. (art. 65 al. 2 TFJC [tarif des frais judiciaires civils du 28 septembre 2010; RSV 270.11.5]). L'appelant ayant succombé, des dépens, à hauteur de 1'000 fr., sont alloués à l’intimée qui s’est déterminée par l’intermédiaire de son conseil (art. 95 al. 3 let d CPC, art. 37 CDP [Code de droit privé judiciaire vaudois du 12 janvier 2010; RSV 211.02]).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L'appelant G.________ doit verser à l'intimée L.________ la somme de 1'000 fr. (mille francs) à titre de dépens de deuxième instance. V. L'arrêt motivé est exécutoire. Le juge délégué : La greffière : Du 10 mai 2011 Le dispositif de l'arrêt qui précède est communiqué par écrit aux intéressés. La greffière : Du L'arrêt qui précède, dont la rédaction a été approuvée à huis clos, est notifié en expédition complète, par l'envoi de photocopies à : ‑ Me Violaine Jaccottet Sherif (pour G.________), ‑ Me Jacques Barillon (pour 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