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 vom 25. November 2010</w:t>
      </w:r>
    </w:p>
    <w:p>
      <w:r>
        <w:t>VD Tribunal cantonal, 2010-11-25, FR</w:t>
      </w:r>
    </w:p>
    <w:p>
      <w:r>
        <w:rPr>
          <w:b/>
        </w:rPr>
        <w:t xml:space="preserve">Quelle: </w:t>
      </w:r>
      <w:r>
        <w:t>https://mcp.opencaselaw.ch/entscheid/vd_findinfo_HC___2011___27</w:t>
      </w:r>
    </w:p>
    <w:p>
      <w:r>
        <w:t>FR: VD_FINDINFO HC / 2011 / 27 du 25 novembre 2010</w:t>
      </w:r>
    </w:p>
    <w:p>
      <w:r>
        <w:t>IT: VD_FINDINFO HC / 2011 / 27 del 25 novembre 2010</w:t>
      </w:r>
    </w:p>
    <w:p>
      <w:pPr>
        <w:pStyle w:val="Heading2"/>
      </w:pPr>
      <w:r>
        <w:t>Regeste</w:t>
      </w:r>
    </w:p>
    <w:p>
      <w:r>
        <w:t>DOL ÉVENTUEL, NÉGLIGENCE CONSCIENTE, FIXATION DE LA PEINE, CONSTATATION DES FAITS, TENTATIVE{DROIT PÉNAL} | 111 CP, 12 al. 2 CP, 21 al. 1 CP,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des moyens de nullité de l'art. 411 let. g, h et i CPP, invoqués pêle-mêle et indistinctement à l'encontre de différents éléments de l'état de fait. 3.a) Le recourant fait d'abord valoir que l'état de fait du jugement est insuffisant, lacunaire et contradictoire. Bien qu'il se fonde sur l'art. 411 let. g, h et i CPP, le grief invoqué recouvre uniquement celui déduit de l'arbitraire dans l'appréciation des faits. Ce moyen se fonde sur la lettre i de cette disposition, laquelle ouvre la voie du recours en nullité s'il existe des doutes sur l'existence des faits admis et importants pour le jugement de la cause. Le recourant soutient aussi que les premiers juges ont apprécié les preuves de manière arbitraire pour ce qui est de l'infraction retenue à sa charge commise à l'encontre d'P.________, dans la mesure où ils se sont fondés exclusivement sur le témoignage de X.________. Il fait en particulier grief au tribunal correctionnel d'avoir retenu qu'il s'était rendu coupable de lésions corporelles graves uniquement sur la foi d'un élément de la déposition en question, à savoir que le recourant se trouvait tout proche de cette victime lors des faits. b) Pour motiver sa conviction, la cour a relevé que le témoin était tout à fait convaincant dans ses déclarations. Ainsi, il n'avait pas cherché à accabler l'accusé, mais il avait décrit de manière claire et précise le déroulement des faits, sans même minimiser sa propre participation dans la bagarre. Ainsi, s'il avait expliqué ne pas avoir vu l'accusé porter les coups à P.________, il n'en avait pas moins affirmé sans hésitation qu'il était tout proche de ce dernier, qu'il n'avait quitté que pour se rendre vers T.________. De surcroît, les aveux de l'accusé, postérieurs au témoignage, le corroboraient parfaitement quant aux faits impliquant T.________, lesquels ont finalement été reconnus par le recourant. Il ressort de ces motifs que X.________ peut être considéré comme un témoin oculaire particulièrement crédible pour trois motifs déterminants au moins. En effet, il était au cœur de la mêlée, n'avait pas de relations personnelles avec le recourant et sa déposition a, a posteriori, été confirmée à un autre égard. Pour ce qui est du contexte de l'agression contre P.________, il est indéniable qu'elle avait été perpétrée dans le cadre d'une rixe impliquant une vingtaine, voire une trentaine de participants. Il est constant que, lors de cette bagarre, des coups de poing et de pied ont été échangés, certains des protagonistes s'étant armés de bouteilles et de ceintures. Il ressort toutefois de la nature des blessures infligées à T.________ que la lame, qui n'a pas été retrouvée, devait être fine et longue, attendu que l'hémorragie avait eu lieu à l'intérieur de l'organisme sans qu'aucun saignement extérieur n'eût été constaté dans un premier temps. Or, P.________ a également été victime d'une plaie pénétrante thoracique par arme blanche de nature identique, même si la gravité de ces lésions était moindre que celle des atteintes infligées à l'autre victime. En présence de lésions similaires, le lien établi par le tribunal correctionnel entre l'agression perpétrée contre P.________ et celle commise au préjudice de T.________ n'a rien d'arbitraire. Le témoignage de X.________, probant pour les motifs indiqués ci-dessus, permet en outre d'établir un lien géographique et temporel entre ces deux agressions, dès lors que le témoin a déclaré que le recourant était tout proche d'P.________ lors des faits et que l'autre victime se trouvait simultanément au même endroit. Il s'ensuit que la seule présence sur les lieux d'autres auteurs potentiels de l'agression contestée n'est pas suffisante pour considérer que la motivation du tribunal correctionnel relèverait d'une appréciation arbitraire des preuves, d'autant que ces tiers étaient armés d'ustensiles (bouteilles et ceintures) qui n'étaient manifestement pas de nature à infliger les blessures ici en cause. Ce moyen doit donc être rejeté. Pour le reste, c'est de manière purement appellatoire que le recourant plaide l'existence éventuelle d'un autre participant à la rixe armé d'un couteau. En effet, aucun fait retenu par le jugement n'étaye cette supposition, qui est donc purement théorique. Ce moyen doit donc être écarté.</w:t>
      </w:r>
    </w:p>
    <w:p>
      <w:r>
        <w:rPr>
          <w:b/>
        </w:rPr>
        <w:t>E. 4</w:t>
      </w:r>
    </w:p>
    <w:p>
      <w:r>
        <w:t>Excipant toujours de l'arbitraire dans l'appréciation des preuves, le recourant soutient ensuite que les faits retenus par le jugement ne permettent pas de déterminer l'ordre dans lequel les victimes ont été poignardées. Le jugement précise pourtant clairement que le recourant a d'abord frappé P.________, puis, immédiatement après, T.________ (p. 48). L'état de fait n'est dès lors à cet égard entaché ni de doute, ni de lacune au sens déduit de l'art. 411 let. h ou i CPP. Pour le reste, on ne voit pas quelle règle essentielle de la procédure au sens de l'art. 411 let. g CPP aurait été violée.</w:t>
      </w:r>
    </w:p>
    <w:p>
      <w:r>
        <w:rPr>
          <w:b/>
        </w:rPr>
        <w:t>E. 5</w:t>
      </w:r>
    </w:p>
    <w:p>
      <w:r>
        <w:t>Egalement sous l'angle de l'arbitraire dans l'administration des preuves, le recourant conteste ensuite l'appréciation des faits à laquelle ont procédé les premiers juges pour ce qui est de l'usage, respectivement de la tentative d'usage de la carte de crédit dérobée le 27 février 2009. Il fait valoir que cette motivation ne repose que sur sa participation – incontestée – au vol. Cela est inexact. Il ressort en effet du jugement (pp. 67 et 68) que, pour retenir ces faits, les premiers juges se sont fondés sur les déclarations du comparse selon lesquelles le recourant s'était rendu dans un magasin lausannois pour tenter, en vain, d'acheter un ordinateur au moyen de la carte dérobée. Aucun élément n'infirme ce témoignage. Leur appréciation échappe dès lors au grief d'arbitraire à tous égards.</w:t>
      </w:r>
    </w:p>
    <w:p>
      <w:r>
        <w:rPr>
          <w:b/>
        </w:rPr>
        <w:t>E. 6</w:t>
      </w:r>
    </w:p>
    <w:p>
      <w:r>
        <w:t>Le recourant conteste enfin avoir utilisé la carte de crédit dérobée le 22 mai 2009. Se prévalant de lacunes dans l'administration des preuves, il fait valoir que la localisation de son téléphone portable à proximité du salon de massage dans lequel la carte avait été utilisée peu après le vol n'est pas un indice suffisant pour fonder une condamnation. Avec le Parquet, force est de constater que le tribunal correctionnel ne s'est pas fondé sur ce seul élément pour asseoir sa conviction. Bien plutôt, les premiers juges ont retenu que, s'il était plausible que K.________ fût rentré chez lui entre le cambriolage et la première transaction incriminée, ce même raisonnement ne pouvait s'appliquer à l'accusé. En effet, ni l'accusé, ni son comparse n'avaient prétendu, à aucun moment de l'enquête ou des débats, que le premier eût été au domicile du second avec celui-ci lors des faits. Il n'y a donc, selon l'autorité de première instance, aucune explication raisonnable à la présence de l'accusé au lieu du salon de massage, à l'heure des transactions, si ce n'est par le fait qu'il en était l'auteur; il n'y a ainsi, de l'avis de la cour, pas place pour un doute raisonnable. Etant constant que les comparses avaient conjointement perpétré le cambriolage au cours duquel la carte avait été dérobée et sachant que le recourant n'a jamais prétendu avoir remis la carte à un tiers et que son comparse a été acquitté par le Tribunal des mineurs pour les faits en question, la motivation des premiers juges échappe à l'évidence au grief d'arbitraire. Aussi bien, elle ne viole aucune règle essentielle de la procédure. Ce dernier moyen doit donc aussi être rejeté et, avec lui, le recours en nullité dans son entier.</w:t>
      </w:r>
    </w:p>
    <w:p>
      <w:r>
        <w:rPr>
          <w:b/>
        </w:rPr>
        <w:t>E. 7</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8</w:t>
      </w:r>
    </w:p>
    <w:p>
      <w:r>
        <w:t>Le premier moyen de réforme du recours est déduit de la violation des art. 22 et 111 CP. Le recourant fait valoir que, dès lors qu'il ne souhaitait pas la mort de T.________, l'élément subjectif de l'infraction réprimée par l'art. 111 CP, soit la volonté homicide, fait défaut. Il ne s'est ainsi, selon lui, rendu coupable que de lésions corporelles graves au sens de l'art. 122 al. 2 CP. Selon l'art. 12 al. 2 CP, agit intentionnellement quiconque commet un crime ou un délit avec conscience et volonté; l’auteur agit déjà intentionnellement lorsqu’il tient pour possible la réalisation de l’infraction et l’accepte au cas où celle-ci se produirait. A teneur de l'art. 22 al. 1 CP, le juge peut atténuer la peine si l’exécution d’un crime ou d’un délit n’est pas poursuivie jusqu’à son terme ou que le résultat nécessaire à la consommation de l’infraction ne se produit pas ou ne pouvait pas se produire. L'art. 111 CP prévoit que celui qui aura intentionnellement tué une personne sera puni d’une peine privative de liberté de cinq ans au moins, en tant que les conditions prévues aux articles suivants ne seront pas réalisées.</w:t>
      </w:r>
    </w:p>
    <w:p>
      <w:r>
        <w:rPr>
          <w:b/>
        </w:rPr>
        <w:t>E. 9</w:t>
      </w:r>
    </w:p>
    <w:p>
      <w:r>
        <w:t>Le recourant fait d'abord valoir qu'il ne peut avoir agi par dol éventuel dès l'instant que le tribunal correctionnel avait admis qu'il ne souhaitait pas la mort de T.________. Il soutient ensuite que, même si la tentative de meurtre devait être retenue, elle ne devrait l'être que par négligence consciente, et non par dol éventuel. a) Il y a dol éventuel lorsque l'auteur envisage sérieusement le résultat dommageable mais agit néanmoins, même s'il ne le souhaite pas, parce qu'il s'en accommode pour le cas où il se produirait (ATF 131 IV 1, c. 2.2). Le dol éventuel doit être nettement et strictement caractérisé : pour l'admettre, il faut que la possibilité du résultat se soit imposée au délinquant d'une façon si pressante que son acte ou son omission implique raisonnablement un consentement (ATF 86 IV 12, JT 1960 IV 74). C'est dire que le dol éventuel ne peut pas être déduit du seul fait que le résultat dommageable constitue la conséquence adéquate du comportement imputé à l'auteur (ATF 119 IV 1, c. 5a; 109 IV 147, c. 4). Lorsqu'il apparaît douteux au juge que l'auteur ait considéré le résultat dommageable comme possible, il ne doit pas retenir le dol éventuel, au bénéfice du principe in dubio pro reo (Favre/Pellet/ Stoudmann, Code pénal annoté, 3 e éd., Lausanne 2007, n. 2.5 ad art. 12 CP). b) Parmi les éléments extérieurs permettant de conclure que l'auteur a accepté le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119 IV 1, c. 5a). Ainsi, le juge est fondé à déduire la volonté de l'auteur d'éléments externes permettant de conclure que l'auteur s'est accommodé du résultat dommageable, ainsi par exemple l'importance de la violation du devoir de prudence (RVJ 2002 p. 213). Il en va ainsi en particulier dans l'hypothèse de celui qui frappe autrui à coups de couteau à la cage thoracique et au ventre, ces circonstances démontrant une intention homicide par dol éventuel (BJP 1998 n° 332). c) Certes, la question de savoir ce que l'auteur sait, accepte, refuse ou l'éventualité à laquelle il consent relève des constatations de fait (ATF 121 IV 90, c. 2b, et la jurisprudence citée) de sorte que ce point ne peut pas être revu dans le cadre d'un recours en réforme. Cependant, savoir si la notion de dol éventuel a été correctement appliquée en fonction des faits retenus relève du droit (ATF 119 IV 242, spéc. 248, JT 1995 IV 171), si bien que qualifier le dessein retenu est une question de droit (ATF 121 IV 90, c. 2b, et les arrêts cités).</w:t>
      </w:r>
    </w:p>
    <w:p>
      <w:r>
        <w:rPr>
          <w:b/>
        </w:rPr>
        <w:t>E. 10</w:t>
      </w:r>
    </w:p>
    <w:p>
      <w:r>
        <w:t>En l'espèce, le tribunal correctionnel a considéré qu'en frappant T.________, le recourant s'était manifestement accommodé d'une issue fatale, dès lors qu'il était conscient que les coups de couteau assénés à sa victime pouvaient produire un tel résultat (jugement, p. 50). Ce dernier élément satisfait à la définition du dol éventuel. Pour le surplus, la conscience et la volonté du recourant relèvent du fait (c. 9.c ci-dessus). Partant, cet élément ne peut être mis en cause dans le cadre d'un recours en réforme. La qualification de tentative de meurtre des faits incriminés en découle.</w:t>
      </w:r>
    </w:p>
    <w:p>
      <w:r>
        <w:rPr>
          <w:b/>
        </w:rPr>
        <w:t>E. 11</w:t>
      </w:r>
    </w:p>
    <w:p>
      <w:r>
        <w:t>Cela étant, et par surabondance, il y a lieu néanmoins d'examiner le moyen subsidiaire fondé sur la négligence consciente. L'auteur agissant par dol éventuel est conscient que le résultat peut se produire. L'auteur agissant par négligence consciente connaît aussi ce risque. Par conséquent, le dol éventuel et la négligence consciente concordent en ce qui concerne la connaissance du danger. La différence entre eux réside dans le fait que l'auteur s'accommode ou non de ce résultat. L'auteur agissant par négligence consciente escompte que le résultat envisagé comme possible ne se produira pas, que le risque du résultat dommageable ne se réalisera pas. L'auteur agissant pas dol éventuel accepte par contre le résultat envisagé comme possible, s'en accommode. Celui qui accepte le résultat pour le cas où il se produirait "veut" ce résultat au sens de l'art. 12 al. 2 CP. Il n'est pas nécessaire que l'auteur approuve ce résultat (cf. ATF 125 IV 242, c. 3c, et les réf. cit., JT 2002 IV 38). Dans le cas particulier, à supposer même contestée cette conscience du risque, celle-ci peut parfaitement être déduite des faits, conformément aux principes résumés au considérant 9.b ci-dessus. En effet, de nombreux éléments extérieurs montrent que le recourant s'était accommodé du résultat dommageable, ainsi le nombre des coups, leur localisation au niveau thoracique et juste à côté d'une l'artère fémorale, la manière dont ils ont été portés (la victime ayant été ceinturée et frappée de l'arrière), la forme et la dimension de la lame, ainsi que, enfin, la gravité des blessures infligées à l'arme blanche. Le recourant étant ainsi réputé s'être accommodé d'une éventuelle issue mortelle, la qualification de tentative de meurtre (par dol éventuel) procède d'une correcte application des art. 22 et 111 CP, ainsi que de l'art. 12 al. 2 CP.</w:t>
      </w:r>
    </w:p>
    <w:p>
      <w:r>
        <w:rPr>
          <w:b/>
        </w:rPr>
        <w:t>E. 12</w:t>
      </w:r>
    </w:p>
    <w:p>
      <w:r>
        <w:t>Le deuxième moyen de réforme du recours est déduit d'une fausse application de l'art. 47 CP. Soutenant que la peine qui lui a été infligée est arbitrairement sévère, le recourant reproche aux premiers juges de n’avoir pas donné un poids suffisant aux éléments à décharge, qu'il n'énonce cependant pas plus avant.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En l’espèce, les premiers juges ont retenu que la culpabilité du recourant était extrêmement lourde. Il suffit à cet égard de renvoyer à leur motivation. Ce faisant, le tribunal n’a pas tenu compte d’éléments étrangers à l’art. 47 CP. Les éléments retenus, à charge et à décharge, sont ainsi pertinents. Au surplus, aucun élément déterminant au regard de l'art. 47 CP n'a été omis, respectivement ne s'est vu conférer une portée excessive ou insuffisante. La peine prononcée se situe dans le cadre légal. Elle tient compte de la responsabilité quelque peu restreinte de l'auteur, ce au vu d'avis médicaux probants, qui ont été résumés et appréciés à satisfaction. De même, les aveux et les regrets du recourant ont été pris en compte, tout comme l'ont été son passé personnel, qualifié d'extrêmement lourd et de déstructuré, ainsi que son caractère influençable. Compte tenu des autres circonstances mentionnées par les premiers juges, à savoir notamment l'impressionnante accumulation des infractions, la dangerosité de nombre d'entre elles, les dénégations de l'intéressé et son absence de prise de conscience de la gravité de ses actes, une peine privative de liberté de six ans ne paraît pas arbitrairement sévère.</w:t>
      </w:r>
    </w:p>
    <w:p>
      <w:r>
        <w:rPr>
          <w:b/>
        </w:rPr>
        <w:t>E. 13</w:t>
      </w:r>
    </w:p>
    <w:p>
      <w:r>
        <w:t>Au surplus, la conclusion en réforme tendant à ce que le recourant soit libéré du chef d'accusation de lésions corporelles simples à l'égard d'P.________ n'est pas spécifiquement étayée par des motifs relevant du droit matériel. Il en va de même de celles tendant à ce qu'il ne soit pas reconnu coupable de tentative d'utilisation frauduleuse d'un ordinateur, d'utilisation frauduleuse d'un ordinateur et de faux dans les titres. A défaut de tout motif valide, il n'y a donc pas lieu d'entrer en matière (art. 425 al. 2 let. c CPP). Au vrai, ces conclusions n'apparaissent avoir été prises qu'en relation avec les moyens de nullité portant sur les chefs d'accusation relatifs aux infractions en question, dont il a déjà été vu qu'ils doivent être rejetés.</w:t>
      </w:r>
    </w:p>
    <w:p>
      <w:r>
        <w:rPr>
          <w:b/>
        </w:rPr>
        <w:t>E. 14</w:t>
      </w:r>
    </w:p>
    <w:p>
      <w:r>
        <w:t>Enfin, le recourant conteste l'allocation de leurs conclusions civiles à P.________ et à [...]. Ces conclusions du recourant (ch. VI et VII), également non motivées séparément, doivent aussi être tenues pour accessoires à celles prises en nullité sur les faits fondant sa culpabilité. Le rejet de celles-ci implique celui de celles-là indépendamment de tout autre motif.</w:t>
      </w:r>
    </w:p>
    <w:p>
      <w:r>
        <w:rPr>
          <w:b/>
        </w:rPr>
        <w:t>E. 15</w:t>
      </w:r>
    </w:p>
    <w:p>
      <w:r>
        <w:t>En conclusion, le recours doit être rejeté en application de l'art. 431 al. 2 CPP et le jugement confirmé. Vu l'issue du recours, les frais de deuxième instance, y compris l'indemnité allouée à son défenseur d'office, par 1'166 fr. 40,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