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 vom 17. Januar 2011</w:t>
      </w:r>
    </w:p>
    <w:p>
      <w:r>
        <w:t>VD Tribunal cantonal, 2011-01-17, FR</w:t>
      </w:r>
    </w:p>
    <w:p>
      <w:r>
        <w:rPr>
          <w:b/>
        </w:rPr>
        <w:t xml:space="preserve">Quelle: </w:t>
      </w:r>
      <w:r>
        <w:t>https://mcp.opencaselaw.ch/entscheid/vd_findinfo_HC___2011___26</w:t>
      </w:r>
    </w:p>
    <w:p>
      <w:r>
        <w:t>FR: VD_FINDINFO HC / 2011 / 26 du 17 janvier 2011</w:t>
      </w:r>
    </w:p>
    <w:p>
      <w:r>
        <w:t>IT: VD_FINDINFO HC / 2011 / 26 del 17 gennaio 2011</w:t>
      </w:r>
    </w:p>
    <w:p>
      <w:pPr>
        <w:pStyle w:val="Heading2"/>
      </w:pPr>
      <w:r>
        <w:t>Regeste</w:t>
      </w:r>
    </w:p>
    <w:p>
      <w:r>
        <w:t>ADMINISTRATION DES PREUVES, ACTION EN ENRICHISSEMENT ILLÉGITIME | 67 CO, 179 CPC, 180 CPC</w:t>
      </w:r>
    </w:p>
    <w:p>
      <w:pPr>
        <w:pStyle w:val="Heading2"/>
      </w:pPr>
      <w:r>
        <w:t>Erwägungen</w:t>
      </w:r>
    </w:p>
    <w:p>
      <w:r>
        <w:rPr>
          <w:b/>
        </w:rPr>
        <w:t>E. 1</w:t>
      </w:r>
    </w:p>
    <w:p>
      <w:r>
        <w:t>Depuis l'entrée en vigueur le 1er janvier 2011 du Code de procédure civile du 19 décembre 2008 (CPC; RS 272), les recours sont régis par le droit en vigueur au moment de la communication de la décision aux parties (art. 405 al. 1 CPC). L'ordonnance attaquée a été expédiée le 23 septembre 2010 pour notification. Sont donc applicables les dispositions contenues dans le Code de procédure civile du canton de Vaud du 14 décembre 1966 (ci-après : CPC-VD; RSV 270.11) devant la Chambre des recours du canton de Vaud (81a al. 2 ROTC [règlement organique du Tribunal cantonal du 13 novembre 2007; RSV 173.31.1] et 166 al. 2 CDPJ [Code du 12 janvier 2010 de droit privé judiciaire vaudois; RSV 211.01]).</w:t>
      </w:r>
    </w:p>
    <w:p>
      <w:r>
        <w:rPr>
          <w:b/>
        </w:rPr>
        <w:t>E. 2</w:t>
      </w:r>
    </w:p>
    <w:p>
      <w:r>
        <w:t>Invoquant l’art. 179 let. a et b CPC-VD, la recourante soutient, d’une part, que les documents requis ne sont pas pertinents et, d’autre part, qu’ils ont un caractère particulièrement confidentiel. Elle se prévaut également d’une violation du principe de la proportionnalité. a) Selon l'art. 179 CPC-VD, le tiers requis par le juge de produire un titre en sa possession peut s'y refuser si la preuve est sans pertinence (let. a), si la preuve se rapporte à un fait au sujet duquel, appelé à témoigner, il ne serait pas tenu de déposer en vertu des art. 198 à 201 CPC-VD (let. b), s'il s'agit de document dont il serait en droit de refuser la production à teneur de l'art. 178 CPC-VD, s'il était lui-même partie au procès (let. c). Par pertinence au sens de l'art. 179 let. a CPC-VD, la doctrine entend l'aptitude du titre à rapporter la preuve du fait allégué, la nécessité de la preuve (soit en particulier, le caractère non superfétatoire de la preuve et l'absence de disproportion entre les difficultés de la preuve et le but de celle-ci), mais non la pertinence de l'allégué pour le litige (Visson, Droit à la production de pièces et discovery, thèse Lausanne 1997, p. 186). b) B.________ SA a soulevé l’exception de prescription concernant les prétentions de L.________. Afin d’établir ce fait, la bailleresse doit démontrer que la locataire a eu connaissance de son droit à la répétition plus d’un an avant l’ouverture de l’action. Elle considère par conséquent que les pièces requises relatives à la date d’adhésion de L.________ à l’Asloca constituent une information importante à prendre en considération dans l’examen de la question de la prescription. b/aa)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de la prétention. On exige cependant que le créancier qui a connaissance des éléments essentiels de sa prétention se renseigne sur les détails et recueille les précisions dont il a besoin pour conduire le procès (ATF 129 III 503 c. 3.4 et les références citées, JT 2004 I 35; CdB 2009 p. 94 c. 4c). A cet égard, la doctrine considère que la méconnaissance de la situation de droit est susceptible de justifier la passivité du créancier (Spiro, Die Begrenzung privater Rechte durch Verjährungs-, Verwirkungs- und Fatalfristen, Bd I, 1975, p. 186). Dans le cas des frais accessoires selon l'art. 257a CO, le Tribunal fédéral a relevé que le délai de prescription de l'art. 67 aI.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CdB 2009 p. 94 c. 4c; CREC I 18 novembre 2009/565). C'est à celui qui invoque la prescription de prouver que les conditions de celle-ci sont réalisées (Huwiler, Basler Kommentar, 4ème éd, 2007, n. 9 ad art. 67 CO, p. 481). b/aa) En l’espèce, le document mentionnant la date depuis laquelle L.________ est membre de l’Asloca n’est pas apte à établir que la locataire a effectivement eu connaissance de son droit à la répétition des frais accessoires perçus indûment par la bailleresse plus d’un an avant l’ouverture de l’action et que, partant, celle-ci est prescrite. En effet, l’appartenance, même depuis plusieurs années, à l’association susmentionnée n’implique pas automatiquement une connaissance de la situation juridique et plus particulièrement du droit du bail par ses membres. Dans ces conditions, on ne saurait admettre que la preuve litigieuse est pertinente au sens de l’art. 179 let. a CPC-VD. Ce grief est admis, de sorte qu’il n’y a pas lieu d’examiner les autres moyens de la recourante.</w:t>
      </w:r>
    </w:p>
    <w:p>
      <w:r>
        <w:rPr>
          <w:b/>
        </w:rPr>
        <w:t>E. 3</w:t>
      </w:r>
    </w:p>
    <w:p>
      <w:r>
        <w:t>En conclusion, le recours doit être admis et la décision entreprise annulée. Les frais de deuxième instance de la recourante sont arrêtés à 400 francs (art. 232 TFJC [tarif des frais judiciaires en matière civile du 4 décembre 1984; RSV 270.11.5]. L'intimée doit verser à la recourante, qui obtient gain de cause (art. 92 al. 1 CPC-VD), la somme de 1’200 fr. à titre de dépens de deuxième instance. Par ces motifs, la Chambre des recours du Tribunal cantonal, statuant à huis clos, prononce : I. Le recours est admis. II. L'ordonnance est réformée en ce sens que l'Asloca ne doit pas produire tous justificatifs mentionnant la date depuis laquelle L.________ est membre de l'Asloca. III. Les frais de deuxième instance de la recourante sont arrêtés à 400 francs (quatre cents francs). IV. L'intimée B.________ SA doit verser à la recourante Association suisse des locataires, ASLOCA, section de Lausanne, la somme de 1'200 fr. (mille deux cents francs) à titre de dépens de deuxième instance. V. L'arrêt motivé est exécutoire. Le président :               Le greffier : Du 17 janvier 2011 Le dispositif de l'arrêt qui précède est communiqué par écrit aux intéressés. Le greffier : Du L'arrêt qui précède, dont la rédaction a été approuvée à huis clos, est notifié en expédition complète, par l'envoi de photocopies, à : ‑ Me Jean Jacques Schwaab (pour association suisse des locataires, ASLOCA, section de Lausanne), ‑ Mme Florence Rouiller (pour L.________), - M. Thierry Zumbach, aab (pour B.________ SA). La Chambre des recours considère que la valeur litigieuse est de 16'402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