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254 vom 12. Mai 2011</w:t>
      </w:r>
    </w:p>
    <w:p>
      <w:r>
        <w:t>VD Tribunal cantonal, 2011-05-12, FR</w:t>
      </w:r>
    </w:p>
    <w:p>
      <w:r>
        <w:rPr>
          <w:b/>
        </w:rPr>
        <w:t xml:space="preserve">Quelle: </w:t>
      </w:r>
      <w:r>
        <w:t>https://mcp.opencaselaw.ch/entscheid/vd_findinfo_HC___2011___254</w:t>
      </w:r>
    </w:p>
    <w:p>
      <w:r>
        <w:t>FR: VD_FINDINFO HC / 2011 / 254 du 12 mai 2011</w:t>
      </w:r>
    </w:p>
    <w:p>
      <w:r>
        <w:t>IT: VD_FINDINFO HC / 2011 / 254 del 12 maggio 2011</w:t>
      </w:r>
    </w:p>
    <w:p>
      <w:pPr>
        <w:pStyle w:val="Heading2"/>
      </w:pPr>
      <w:r>
        <w:t>Regeste</w:t>
      </w:r>
    </w:p>
    <w:p>
      <w:r>
        <w:t>ACTION EN RAISON DU TROUBLE DE LA POSSESSION, PROTECTION DE LA POSSESSION, ACTION EN CESSATION DE TROUBLE, IMMEUBLE{ART. 655 CC}, POSSESSION, LÉGITIMATION ACTIVE ET PASSIVE, NOUVEAU MOYEN DE PREUVE | 919 CC, 928 CC, 317 al. 1 CPC (CH)</w:t>
      </w:r>
    </w:p>
    <w:p>
      <w:pPr>
        <w:pStyle w:val="Heading2"/>
      </w:pPr>
      <w:r>
        <w:t>Erwägungen</w:t>
      </w:r>
    </w:p>
    <w:p>
      <w:r>
        <w:rPr>
          <w:b/>
        </w:rPr>
        <w:t>E. 3</w:t>
      </w:r>
    </w:p>
    <w:p>
      <w:r>
        <w:t>Les appelants soutiennent que les dispositions sur la possession ne sont pas applicables à des immeubles et qu'à la date de la requête de mesures provisionnelle, l'intimé n'exerçait aucune maîtrise depuis le mois de septembre 2010 sur la place asphaltée sur laquelle sont stationnées les machines agricoles litigieuses. Ils font valoir que l'intimé n'a jamais bénéficié d'un droit exclusif sur le terrain en cause, qu'il n'a plus aucun droit sur les locaux de la fromagerie compte tenu de la résiliation du contrat, qu'il a cessé de s'acquitter du prix du lait à partir du mois d'octobre 2009 et qu'il avait un retard de loyer de 122'601 fr. 70 à la fin du mois de février 2010. 4.1 Aux termes de l’art. 919 al. 1 CC, celui qui a la maîtrise effective de la chose en a la possession. Selon l’art. 920 CC, lorsque le possesseur remet la chose à un tiers pour lui conférer soit un droit de servitude ou de gage, soit un droit personnel, tous deux en ont la possession (al. 1). Ceux qui possèdent à titre de propriétaire ont une possession originaire, les autres une possession dérivée (al. 2). La possession individuelle est celle qui est exercée par une seule personne ; peu importe qu’il s’agisse d’une possession simple, médiate ou immédiate, originaire ou dérivée. La possession collective est celle qui est exercée par plusieurs possesseurs (cf. Steinauer, Les droits réels, Tome premier, 4ème éd., 2007, p. 98). 4.1.1 Les art. 926 à 929 CC organisent la protection de la possession en tant qu’état de fait. Cette protection trouve sa justification dans le souci de protéger la paix publique : non seulement le possesseur a intérêt à ce que sa maîtrise ne soit ni troublée ni usurpée, mais il est d’intérêt général que des tiers ne modifient pas unilatéralement la situation de fait constitutive de la possession, même s’ils prétendent être au bénéfice de droits préférables (cf. Steinauer, op. cit., p. 124 n° 313). 4.1.2 L’action en cessation du trouble est l’action possessoire dont dispose celui dont la possession d’une chose est troublée, en vue de faire cesser le trouble. Contrairement à l’appréciation des appelants, tant la doctrine que la jurisprudence admettent que cette action appartient à tout possesseur d’une chose, que celle-ci soit mobilière ou immobilière (cf. Steinauer, op. cit., p. 125 et les nombreux exemples jurisprudentiels cités ; cf. TF 5A_98/2010 du 7 mai 2010 ). Il en va en revanche différemment pour la protection du droit fondée sur la possession (cf. art. 930 à 937 CC ; Steinauer, op. cit., p. 144 ss). L’action en cessation du trouble appartient à celui dont la possession est troublée. En général, il s’agit du possesseur immédiat, mais la possession médiate peut également être troublée. L’action ne peut être dirigée que contre l’auteur du trouble et ses successeurs universels. L’auteur du trouble peut également être un autre possesseur de la même chose, par exemple, un propriétaire qui pénètre contre la volonté du locataire dans les locaux loués, dans la mesure où le trouble est illicite (Steinauer, op. cit., p. 140 n° 354b). L’action doit donc être admise chaque fois qu’il y a un trouble illicite de la possession. Par trouble de la possession, il faut entendre toute entrave à l’exercice de la possession qui n’entraîne pas une dépossession. Peut ainsi constituer un trouble de la possession au sens de l’art. 928 CC non seulement une atteinte matérielle à l’objet possédé, mais aussi un acte qui en affecte indirectement la possession, par exemple, pour un fonds, le bruit causé par des avions, des émanations de fumée, ou une lumière aveuglante (ATF 95 II 397). L’atteinte peut aussi être psychique, mais elle doit alors être sérieuse (ATF 60 III 483). Constitue aussi une atteinte le simple fait d’interdire à une personne d’exercer sa possession, pour autant que cette interdiction soit formelle (ATF 83 III 141). Un trouble de la possession est illicite chaque fois qu’il n’est pas autorisé par la loi ou par le possesseur. En principe, le défendeur n’est pas admis à invoquer un droit qu’il aurait sur ou en relation avec l’objet, notamment en vertu d’un contrat. En effet, l’action en raison du trouble est purement possessoire; le défendeur n’est donc pas admis à faire valoir un droit préférable sur la chose (cf. art. 928 al. 1 in fine ; Steinauer, op. cit., p. 140 n° 365). 4.1.3 Les règles générales précitées s’appliquent aussi en cas d’atteinte provenant d’un autre possesseur. Il faut cependant examiner en outre dans quelle mesure l’auteur de l’atteinte peut invoquer son propre droit à la possession pour justifier cette atteinte. En principe, une telle justification doit être rejetée, car les art. 926 ss CC ne visent qu’à protéger un état de fait. Les litiges relatifs aux droits des parties doivent en effet être réglés par d’autres voies. Dans tous les cas, en cas de possession multiple, le possesseur immédiat peut exercer les droits prévues par les art. 926 ss CC en cas de trouble de la part du possesseur médiat (Steinauer, op. cit., p. 129). 4.2 Aux termes de l’art. 101 al. 1 ch. 2 CPC-VD (Code de procédure civile du 14 décembre 1966), des mesures provisionnelles peuvent être ordonnées en tout état de cause, même avant l’ouverture d’action, en cas d’urgence, pour protéger le possesseur dans ses droits. Le requérant doit rendre vraisemblable, mais non pas établir, les faits justifiant sa requête et, en conséquence, le droit dont il requiert la protection; quant au juge, il doit se limiter à un examen prima facie ou sommaire, sans préjuger du fond (cf. Poudret/Haldy/Tappy, Procédure civile vaudoise, 3 ème éd., 2002, n. 1 ad art. 101 CPC-VD, p. 197). 5.1 En l'espèce, bien que les relations juridiques entre les parties soient peu claires et qu'elles font l'objet de procédures devant d'autres autorités, il n'en demeure pas moins que, sous l'angle de la vraisemblance, l'intimé a bien la possession immédiate, dérivée et individuelle des locaux litigieux, savoir ceux de la laiterie et fromagerie, du magasin qui s'y trouve, de l'appartement sis au même endroit, où il loge avec sa famille, de la porcherie et de l'appartement indépendant de deux pièces. En effet la Coopérative F.________ et les appelants ont cédé l'usage de ces locaux à l'intimé, comme cela ressort des deux contrats du 10 août 1984 et 18 avril 2000 et des démarches entreprises par la Coopérative F.________ tendant à résilier ces contrats. Dans les faits, l'intimé occupe actuellement toujours les locaux précités et exploite le magasin. Le fait que les parties soient également liées en vertu d'autres engagements qu'un contrat de bail à loyer n'est pas de nature à modifier cet état de fait, à savoir que l'intimé a la maîtrise des locaux et terrains qu'il occupe et donc la possession des immeubles en question. A cet égard, l'on ne saurait déduire, au regard des règles de la bonne foi, que les contrats susmentionnés limitaient la cession aux seuls bâtiments et non au terrain alentour, la mise à disposition des premiers dans le but de l'exploitation d'une fromagerie et d'une porcherie entraînant, vu ce but, la mise à disposition du second, également nécessaire à l'exploitation. De même, il ne ressort pas desdits contrats que les appelants auraient été autorisés ou se seraient réservé le droit d'exercer une possession collective avec l'intimé sur les locaux litigieux. Enfin, le fait que les appelants ont déjà stationné leurs engins durant le mois de septembre 2010, avant de les enlever, puis de les replacer, ne permet pas davantage de reconnaître une possession collective des parties sur les immeubles en question. En effet, il résulte de l'art. 921 CC qu'une éventuelle maîtrise de fait acquise par suite de circonstances de nature passagère qui suspendent la maîtrise d'autrui n'est pas suffisante pour fonder la possession. En outre, on doit déduire du procès verbal d'audition du 21 octobre 2010 que l'intimé avait antérieurement réclamé la cessation du trouble. Il l'a fait à nouveau le 26 octobre 2010 par son courrier au juge d'instruction, puis a ouvert action le 7 décembre 2010. Il a ainsi satisfait aux exigences de délais posées par l'art. 929 CC (cf. Steinauer, op. cit., n os 348 ss, p. 135). Il n'était donc pas déchu de son action. 5.2 L'entreposage de véhicules, remorques, dont certaines contenant des résidus de purin, et autres machines agricoles devant les locaux litigieux qui entravent l'accès au garage, la pose d'une pierre devant l'entrée du magasin, le feu allumé le 15 décembre 2010 et les motifs des appelants - savoir marquer leur terrain, bloquer la fromagerie et ne laisser la place libre que pour les déménageurs -, qui attestent que leur but est d'obtenir par la voie privée le départ de l'intimé, constituent un trouble de la possession au sens de l'art. 928 CC. L'entrave est tout d'abord matérielle, dès lors que la possession est restreinte par divers obstacles physiques placés devant les accès des locaux. L'entrave est également psychique dans la mesure où elle consiste à intimider et atteindre l'intimé, de manière à le gêner et lui faire quitter les lieux le plus rapidement possible. 5.3 Cette atteinte est illicite puisqu'elle n'est ni autorisée par la loi ni consentie par le possesseur, étant précisé que les appelants ne sauraient fonder leur attitude sur un éventuel droit préférable sur les immeubles en question, vu la règle posée à l'art. 928 al. 1 in fine CC (cf. c. 4.1.1 et 4.1.2 ci-dessus). Ainsi, il n'est pas nécessaire d'examiner plus avant les droits et relations juridiques des parties – et plus particulièrement la question de la résiliation des contrats du 10 août 1984 et 18 avril 2000 -, l'art. 928 CC ne visant en définitive qu'à protéger un état de fait, les litiges relatifs aux droits respectifs des parties devant être réglés par d'autre voies. Des procédures judiciaires sont d'ailleurs déjà pendantes à ce sujet entre les intéressés. 5.4 Au vu des considérations qui précèdent il y a lieu d'admettre que les conditions de l'art. 928 CC sont réalisées et de rejeter l'appel sur ce point.</w:t>
      </w:r>
    </w:p>
    <w:p>
      <w:r>
        <w:rPr>
          <w:b/>
        </w:rPr>
        <w:t>E. 6</w:t>
      </w:r>
    </w:p>
    <w:p>
      <w:r>
        <w:t>Les appelants contestent qu'on puisse leur donner ordre d'évacuer toutes les machines de la parcelle litigieuse, même celles dont ils ne sont pas eux-mêmes propriétaires et qu'ils n'ont pas eux-mêmes stationnées. Certes, l'instruction n'a pas permis de déterminer avec exactitude qui des appelants était propriétaire des différentes machines entreposées devant les locaux en cause et qui les y avait placées. Elle n'a pas davantage permis d'élucider l'identité des personnes ayant placé la pierre et allumé un feu devant lesdits locaux. Reste que, selon les faits retenus qui ne sont pas contestés par les appelants, il est constant que les parties sont divisées par un sérieux litige, que les membres de la Coopérative F.________ souhaitent voir l'intimé libérer les locaux litigieux et que ce sont des membres de ladite société qui ont entreposé des machines et une pierre devant lesdits locaux. De plus, les appelants sont tous membres de la coopérative et ils ont déclaré qu'ils considéraient avoir le droit d'entreposer leurs machines sur la parcelle litigieuse. Enfin, on peut admettre que l'intimé, qui connaît personnellement de nombreux membres de la coopérative, qui lui livraient du lait, n'a agi que contre les auteurs effectifs des troubles invoqués. Dans ces circonstances, on doit admettre que l'ordre donné aux appelants est justifié, l'action en cessation de trouble devant être dirigée contre les auteurs du trouble et la légitimation passive étant suffisamment rendue vraisemblable. L'appel doit en conséquence être rejeté sur ce point.</w:t>
      </w:r>
    </w:p>
    <w:p>
      <w:r>
        <w:rPr>
          <w:b/>
        </w:rPr>
        <w:t>E. 7</w:t>
      </w:r>
    </w:p>
    <w:p>
      <w:r>
        <w:t>En conclusion, l'appel doit être rejeté et l'ordonnance de mesures provisionnelles confirmée. Les frais judiciaires de deuxième instance, fixés à 800 fr. (art. 65 al. 1 TFJC [tarif du 28 septembre 2010 des frais judiciaires civils; RSV 270.11.5), sont mis à la charge des appelant, vu l'issue de l'appel (art. 106 al. 1 CPC). Il n'y a pas lieu d'allouer de dépens de deuxième instance, l'intimé n'ayant pas été invité à se déterminer. Par ces motifs, le juge délégué de la Cour d’appel civile du Tribunal cantonal, statuant à huis clos, prononce : I. L’appel est rejeté. II. L'ordonnance est confirmée. III. Les frais judiciaires de deuxième instance, fixés à 800 fr. (huit cents francs), sont mis à la charge des appelants J.________, M.________, L.________, W.________, V.________, Q.________, A.K.________, C.K.________, B.K.________, N.________, solidairement entre eux. IV. L'arrêt motivé est exécutoire. Le juge délégué : Le greffier : Du 16 mai 2011 Le dispositif de l'arrêt qui précède est communiqué par écrit aux intéressés. Le greffier : Du L'arrêt qui précède, dont la rédaction a été approuvée à huis clos, est notifié en expédition complète, par l'envoi de photocopies à : ‑ Me Mathias Keller (pour V.________, A.K.________, B.K.________, W.________, C.K.________, N.________, J.________, M.________, Q.________ et L.________), ‑ Me Serge Demierre (pour C.________). La Cour d’appel civile considère que la valeur litigieuse est inférieure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