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252 vom 11. Mai 2011</w:t>
      </w:r>
    </w:p>
    <w:p>
      <w:r>
        <w:t>VD Tribunal cantonal, 2011-05-11, FR</w:t>
      </w:r>
    </w:p>
    <w:p>
      <w:r>
        <w:rPr>
          <w:b/>
        </w:rPr>
        <w:t xml:space="preserve">Quelle: </w:t>
      </w:r>
      <w:r>
        <w:t>https://mcp.opencaselaw.ch/entscheid/vd_findinfo_HC___2011___252</w:t>
      </w:r>
    </w:p>
    <w:p>
      <w:r>
        <w:t>FR: VD_FINDINFO HC / 2011 / 252 du 11 mai 2011</w:t>
      </w:r>
    </w:p>
    <w:p>
      <w:r>
        <w:t>IT: VD_FINDINFO HC / 2011 / 252 del 11 maggio 2011</w:t>
      </w:r>
    </w:p>
    <w:p>
      <w:pPr>
        <w:pStyle w:val="Heading2"/>
      </w:pPr>
      <w:r>
        <w:t>Regeste</w:t>
      </w:r>
    </w:p>
    <w:p>
      <w:r>
        <w:t>PROTECTION DE L'UNION CONJUGALE, RELATIONS PERSONNELLES, PROTECTION DE L'ENFANT, INTÉRÊT DE L'ENFANT | 176 al. 3 CC, 273 al. 1 CC, 273 al. 2 CC, 274 al. 2 CC, 308 al. 1 let. b CPC (CH)</w:t>
      </w:r>
    </w:p>
    <w:p>
      <w:pPr>
        <w:pStyle w:val="Heading2"/>
      </w:pPr>
      <w:r>
        <w:t>Erwägungen</w:t>
      </w:r>
    </w:p>
    <w:p>
      <w:r>
        <w:rPr>
          <w:b/>
        </w:rPr>
        <w:t>E. 1</w:t>
      </w:r>
    </w:p>
    <w:p>
      <w:r>
        <w:t>a) Le prononcé attaqué a été rendu le 4 mars 2011, de sorte que les voies de droit sont régies par le CPC (Code de procédure civile du 19 décembre 2008; RS 272), entré en vigueur le 1 er janvier 2011 (art. 405 al. 1 CPC). b) L'appel est recevable contre les ordonnances de mesures protectrices de l'union conjugale, qui doivent être considérées comme des décisions provisionnelles au sens de l'art. 308 al. 1 let. b CPC (Tappy, Les voies de droit du nouveau Code de procédure civile, in JT 2010 III 115, spéc. p. 121),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op. cit., p. 126).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non patrimoniales – le litige portant uniquement sur la réglementation du droit de visite et sur la mise en œuvre d'une expertise pédopsychiatrique concernant l'enfant C.Z.________ –, le présent appel est recevable.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Kommentar zur Schweizerischen Zivilprozessordnung, Zurich-Bâle-Genève 2010, n. 76 ad art. 317 CPC). En l'espèce, dans la mesure où le litige en appel porte exclusivement sur des questions relatives à l'enfant C.Z.________, la maxime d'office est applicable (cf. ATF 128 III 411 c. 3.1; ATF 120 II 229 c. 1c et les références).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Bâle 2010, n. 7 ad art. 317 CPC; Reetz/Hilber, op. cit.,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c) En l'espèce, en vertu de la maxime d'office applicable dans les causes portant sur la situation des enfants mineurs, les pièces nouvelles produites par les parties en deuxième instance sont recevables.</w:t>
      </w:r>
    </w:p>
    <w:p>
      <w:r>
        <w:rPr>
          <w:b/>
        </w:rPr>
        <w:t>E. 3</w:t>
      </w:r>
    </w:p>
    <w:p>
      <w:r>
        <w:t>a) Lorsqu'il y a des enfants mineurs, le juge saisi d'une requête de mesures protectrices de l'union conjugale ordonne les mesures nécessaires d'après les dispositions sur les effets de la filiation (art. 176 al. 3 CC [Code civil suisse du 10 décembre 1907; RS 210]).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 4a; 123 III 445 c. 3b).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Entrent notamment en considération comme justes motifs au sens de l'art. 274 al. 2 CC les abus sexuels (ATF 122 III 404 précité c. 3b et les citations). En présence de tels soupçons, il convient de faire preuve d'une attention particulière; ils pourront le cas échéant justifier le refus de tout droit de visite, jusqu'à ce qu'ils soient levés (ATF 119 II 201 c. 3; TF 5P.33/2001 précité c. 3a et les références citées).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 3c; ATF 120 II 229 c. 3b/aa; TF 5P.33/2001 précité c. 3a et les références citées).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5C.20/2006 du 4 avril 2006; TF 5P.131/2006 du 25 août 2006 c. 3, publié in FamPra 2007 p. 167). b) En l'espèce, B.Z.________ requiert qu'un droit de visite ne soit accordé à A.Z.________ sur l'enfant C.Z.________ que sous la forme d'un droit de visite surveillé, s'exerçant au Point Rencontre deux fois par mois et à l'intérieur des locaux exclusivement. A l'appui de sa requête, elle expose d'abord, en plus des éléments déjà allégués en première instance, qu'une plainte pénale a depuis lors été déposée par son ancien conseil, le 18 janvier 2011, pour des soupçons d'abus sexuel sur l'enfant C.Z.________ de la part de A.Z.________ (pièce 13 produite à l'appui de l'appel), plainte à laquelle était jointe une présentation chronologique, établie par une assistante sociale de Profa-Centre LAVI, des éléments dégagés par cette dernière du récit que lui avait fait B.Z.________ (cf. appel, pp. 4-6). L'appelante invoque en outre la violence conjugale dont A.Z.________ aurait fait preuve à son égard (cf. appel, pp. 6-7), ainsi que la tendance qu'il aurait à abuser de l'alcool (cf. appel, pp. 7-8). Elle produit un extrait du casier judiciaire de A.Z.________ (pièce 15) et requiert la production de l'ensemble des dossiers pénaux des enquêtes instruites par le ministère public concernant les plaintes respectives des époux l'un contre l'autre. c) S'agissant d'abord des soupçons d'abus sexuels avancés par l'appelante, force est de constater que ceux-ci reposent exclusivement sur ses propres déclarations. Cela concerne également les propos de la pédiatre L.________ dont les actions ne se fondent que sur les déclarations de l'intéressée, ce qui a, du reste, été admis lors de son témoignage devant le premier juge. En outre, les déclarations de B.Z.________ sont infirmées par les prélèvements qui ont été effectués en avril 2010 par la Dresse L.________ à l'insu de l'intimé A.Z.________, ces prélèvements s'étant avérés négatifs alors que ce dernier venait de passer un week-end entier seul avec son fils. Elles sont également infirmées par le témoignage devant le premier juge de T.________, dont la fille, âgée de trois ans et demi, est la filleule de l'intimé et aurait selon l'appelante également été victime de comportements à caractère sexuel de la part de celui-ci; le témoin a en effet expliqué que A.Z.________ gardait souvent sa filleule, qu'il faisait parfois des activités avec elle, telles qu'une visite dans un zoo, qu'il n'y avait jamais eu de problèmes et que sa confiance était intacte. La plainte pénale déposée le 18 janvier 2011 par l'ancien conseil de l'appelante n'apporte aucun élément supplémentaire, faisant état d'éléments déjà connus dont ceux à charge reposent sur les seules déclarations de l'appelante qui ne sont corroborées par aucun élément objectif. Dans ces circonstances, il n'y a pas lieu, dans la présente procédure qui est soumise à la procédure sommaire et au principe de célérité, d'ordonner la production de dossiers pénaux qui à ce stade n'apporteraient certainement rien de plus, étant au surplus rappelé que les mesures protectrices peuvent en tout état de cause être modifiées en cas de changement important et durable des circonstances, ou lorsque le juge s'est fondé sur des circonstances de fait erronées (art. 179 al. 1 CC; TF 5A_390/2007 du 29 octobre 2007 c. 3.3 et les références citées). d) S'agissant de la violence conjugale dont A.Z.________ aurait fait preuve envers B.Z.________, qui est attestée par divers éléments du dossier pour l'année 2007 - les rapports de police relatifs à quatre interventions effectuées en 2010 ne relatant en revanche aucun acte de violence - , force est de constater que l'instruction n'a permis de mettre en évidence aucun élément pertinent s'agissant d'éventuelles violences exercée par l'intimé sur son fils. Le seul fait qu'O.________, médecin et employeur de B.Z.________ qui a travaillé pour elle en qualité de maman de jour et a été entendue comme témoin par le premier juge, a déclaré qu'il lui arrivait de voir A.Z.________ lorsque celui-ci se trouvait au logement conjugal des parties et qu'elle avait remarqué qu'il était parfois malpoli voire grossier avec son épouse et qu'il lui arrivait également de se montrer trop brutal lorsqu'il réprimandait son enfant ou celui du témoin, ne permet pas de conclure que le développement physique, moral ou psychique de l'enfant C.Z.________ serait menacé par l'exercice de relations personnelles non surveillées avec son père. e) S'agissant enfin des problèmes d'alcool allégués de A.Z.________, il ne ressort pas du dossier que celui-ci serait alcoolique et qu'il en résulterait un danger pour le développement de son fils par l'exercice de relations personnelles non surveillées. En particulier, le Dr F.________, médecin de l'intimé depuis 2002, entendu comme témoin par le premier juge, a déclaré qu'il effectuait des contrôles du foie de son patient chaque année et qu'il n'avait jamais constaté un problème lié à une consommation excessive d'alcool. Il a précisé que l'intimé avait eu des problèmes de stupéfiants mais que cela remontait au début des années 2000, ce qui est confirmé par l'extrait du casier judiciaire produit par l'appelante (pièce 15). Le témoin F.________ a encore précisé qu'en 2007 et 2008, il aurait prescrit un traitement à l'Antabus à la demande de l'intimé, demande que celui-ci avait faite par gain de paix vis-à-vis de son épouse, alors même que les examens effectués sur son foie ne révélaient aucun problème de consommation abusive d'alcool. Par ailleurs, le fait que le casier judiciaire de A.Z.________ révèle deux condamnations pour ivresse au volant en 1999 et 2007 ne justifie pas une crainte concrète que celui-ci mette son fils en danger, lors de l'exercice du droit de visite limité à la journée – du samedi matin à 09h00 au samedi soir à 18h00 ainsi que le dimanche matin de 09h00 à 12h00 – en le prenant en voiture après avoir bu. f) Au regard de ce qui précède, il y a lieu de constater, à l'instar du premier juge, qu'il n'y a aucune raison objective de considérer que les relations personnelles entre le père et son fils compromettraient le développement de ce dernier. Les modalités du droit de visite fixées par le prononcé attaqué, qui prévoit un droit de visite limité à la journée, soit un week-end sur deux, du samedi matin à 09h00 au samedi soir à 18h00 ainsi que le dimanche matin de 09h00 à 12h00, apparaissent adéquates et ne peuvent qu'être confirmées. g) L'appelante conteste enfin la décision du premier juge de charger le SPJ d'un mandat d'enquête sur la situation de l'enfant C.Z.________ pour déterminer la pertinence d'une éventuelle expertise pédopsychiatrique le concernant (chiffre V du dispositif du prononcé); elle estime qu'une telle expertise pédopsychiatrique devrait d'ores et déjà être ordonnée en vue de préaviser sur les modalités de l'exercice du droit de visite, éventuellement surveillé. De telles conclusions doivent être rejetées. L'instruction n'a permis à ce jour de mettre en évidence aucun élément objectif, au-delà des déclarations de l'appelante, qui pourrait faire craindre une mise en danger du développement de l'enfant C.Z.________ par l'exercice du droit de visite selon les modalités fixées par le prononcé attaqué. Dans ces circonstances, il n'apparaît pas opportun d'ordonner une expertise pédopsychiatrique sur la seule base des déclarations de B.Z.________, mais il se révèle bien plutôt approprié de mandater le SPJ pour qu'il détermine de manière objective et impartiale la pertinence de la mise en œuvre éventuelle d'une telle expertise.</w:t>
      </w:r>
    </w:p>
    <w:p>
      <w:r>
        <w:rPr>
          <w:b/>
        </w:rPr>
        <w:t>E. 4</w:t>
      </w:r>
    </w:p>
    <w:p>
      <w:r>
        <w:t>Au vu de ce qui précède, l'appel doit être rejeté et le prononcé attaqué confirmé. Les frais judiciaires de deuxième instance sont arrêtés à 600 fr. (art. 65 al. 2 TFJC [tarif du 28 septembre 2010 des frais judiciaires civils; RSV 270.11.5]). La requête d'assistance judiciaire de l'appelante a été admise par ordonnance du 4 avril 2011. Par conséquent, les frais judiciaire de deuxième instance ne seront pas mis à la charge de l'appelante, bien que celle-ci succombe, mais seront laissés à la charge de l'Etat (art. 122 al. 1 let. b CPC). En revanche, l'appelante versera à l'intimé une indemnité à titre de dépens de deuxième instance (art. 122 al. 1 let. d CPC), qu'il y a lieu de fixer à 1'700 francs. L'indemnité d'office due au conseil de l'appelante (art. 122 al. 1 let. a CPC) sera quant à elle arrêtée à 1'857 fr. 60. La requête d'assistance judiciaire déposée le 18 avril 2011 par l'intimé doit être rejetée. En effet, au regard des éléments ressortant du dossier (présentés sous lettre C.8.a supra), les moyens de l'intéressé apparaissent suffisants (cf. art. 117 let. a CPC) pour financer la procédure de mesures protectrices de l'union conjugale, comme il l'a fait jusqu'à présent. Au demeurant, vu l'issue de la procédure d'appel, l'intimé n'a pas à payer de frais judiciaires de deuxième instance et a droit à une indemnité de dépens de la part de l'appelante. Par ces motifs, le juge délégué de la Cour d'appel civile du Tribunal cantonal, statuant à huis clos, prononce : I. L'appel est rejeté. II. Le prononcé est confirmé. III. Les frais judiciaires de deuxième instance, arrêtés à 600 fr. (six cents francs), sont laissés à la charge de l'Etat. IV. L'indemnité d'office de Me Annik Nicod, conseil de l'appelante, est arrêtée à 1'857 fr. 60 (mille huit cent cinquante-sept francs et soixante centimes). V. La bénéficiaire de l'assistance judiciaire est, dans la mesure de l'art. 123 CPC, tenue au remboursement des frais judiciaires et de l'indemnité au conseil d'office mis à la charge de l'Etat. VI. L'appelante B.Z.________ doit verser à l'intimé A.Z.________ la somme de 1'700 fr. (mille sept cents francs) à titre de dépens de deuxième instance. VII. La requête d'assistance judiciaire de l'intimé est rejetée. VIII. L'arrêt motivé est exécutoire. Le juge délégué : Le greffier : Du 13 mai 2011 Le dispositif de l'arrêt qui précède est communiqué par écrit aux intéressés. Le greffier : Du L'arrêt qui précède, dont la rédaction a été approuvée à huis clos, est notifié en expédition complète, par l'envoi de photocopies à : ‑ Me Annik Nicod (pour B.Z.________), ‑ Me Micaela Vaerini Jensen (pour A.Z.________).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