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243 vom 23. August 2010</w:t>
      </w:r>
    </w:p>
    <w:p>
      <w:r>
        <w:t>VD Tribunal cantonal, 2010-08-23, FR</w:t>
      </w:r>
    </w:p>
    <w:p>
      <w:r>
        <w:rPr>
          <w:b/>
        </w:rPr>
        <w:t xml:space="preserve">Quelle: </w:t>
      </w:r>
      <w:r>
        <w:t>https://mcp.opencaselaw.ch/entscheid/vd_findinfo_HC___2011___243</w:t>
      </w:r>
    </w:p>
    <w:p>
      <w:r>
        <w:t>FR: VD_FINDINFO HC / 2011 / 243 du 23 août 2010</w:t>
      </w:r>
    </w:p>
    <w:p>
      <w:r>
        <w:t>IT: VD_FINDINFO HC / 2011 / 243 del 23 agosto 2010</w:t>
      </w:r>
    </w:p>
    <w:p>
      <w:pPr>
        <w:pStyle w:val="Heading2"/>
      </w:pPr>
      <w:r>
        <w:t>Regeste</w:t>
      </w:r>
    </w:p>
    <w:p>
      <w:r>
        <w:t>DROIT PÉNAL, JUGEMENT PAR DÉFAUT, RELIEF, FORCE MAJEURE, DÉCISION D'IRRECEVABILITÉ, AMENDE | 406 al. 1 CPP, 49 al. 3 LSM, 54 al. 1 LSM</w:t>
      </w:r>
    </w:p>
    <w:p>
      <w:pPr>
        <w:pStyle w:val="Heading2"/>
      </w:pPr>
      <w:r>
        <w:t>Erwägungen</w:t>
      </w:r>
    </w:p>
    <w:p>
      <w:r>
        <w:rPr>
          <w:b/>
        </w:rPr>
        <w:t>E. 3</w:t>
      </w:r>
    </w:p>
    <w:p>
      <w:r>
        <w:t>Par conséquent, le recours, mal fondé, doit être rejeté et le prononcé attaqué confirmé. III. En définitive, le recours contre le prononcé présidentiel du 16 novembre 2010 doit être rejeté et celui interjeté implicitement contre le jugement du Tribunal de police de l'arrondissement de Lausanne du 23 août 2010 écarté. Vu l'issue du recours,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