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230 vom 13. April 2011</w:t>
      </w:r>
    </w:p>
    <w:p>
      <w:r>
        <w:t>VD Tribunal cantonal, 2011-04-13, FR</w:t>
      </w:r>
    </w:p>
    <w:p>
      <w:r>
        <w:rPr>
          <w:b/>
        </w:rPr>
        <w:t xml:space="preserve">Quelle: </w:t>
      </w:r>
      <w:r>
        <w:t>https://mcp.opencaselaw.ch/entscheid/vd_findinfo_HC___2011___230</w:t>
      </w:r>
    </w:p>
    <w:p>
      <w:r>
        <w:t>FR: VD_FINDINFO HC / 2011 / 230 du 13 avril 2011</w:t>
      </w:r>
    </w:p>
    <w:p>
      <w:r>
        <w:t>IT: VD_FINDINFO HC / 2011 / 230 del 13 aprile 2011</w:t>
      </w:r>
    </w:p>
    <w:p>
      <w:pPr>
        <w:pStyle w:val="Heading2"/>
      </w:pPr>
      <w:r>
        <w:t>Regeste</w:t>
      </w:r>
    </w:p>
    <w:p>
      <w:r>
        <w:t>PROTECTION DE L'UNION CONJUGALE, OBLIGATION D'ENTRETIEN, NOVA, CONJOINT | 308 al. 1 let. b CPC (CH), 317 al. 1 CPC (CH)</w:t>
      </w:r>
    </w:p>
    <w:p>
      <w:pPr>
        <w:pStyle w:val="Heading2"/>
      </w:pPr>
      <w:r>
        <w:t>Erwägungen</w:t>
      </w:r>
    </w:p>
    <w:p>
      <w:r>
        <w:rPr>
          <w:b/>
        </w:rPr>
        <w:t>E. 1</w:t>
      </w:r>
    </w:p>
    <w:p>
      <w:r>
        <w:t>La décision attaquée a été rendue le 9 mars 2011, de sorte que les voies de droit sont régies par le CPC (Code de procédure civile du 19 décembre 2008; RS 272), entré en vigueur le 1 er janvier 2011 (405 al. 1 CPC). L'appel est recevable contre les ordonnances de mesures protectrices de l'union conjugale, qui doivent être considérées comme des décisions provisionnelles au sens de l'art. 308 al. 1 let. b CPC (Tappy, Les voies de droit du nouveau Code de procédure civile, in JT 2010 III 115, spéc. p. 121). Les ordonnances de mesures protectrices étant régies par la procédure sommaire, selon l'art. 271 CPC, le délai pour l'introduction de l'appel est de dix jours (art. 314 al. 1 CPC). L'appel est de la compétence du juge unique (art. 84 al. 2 LOJV [loi d'organisation judiciaire du 12 décembre 1979; RSV 173.01]). Formé en temps utile par une partie qui y a intérêt et portant sur des conclusions qui, capitalisées selon l'art. 92 al. 2 CPC, sont supérieures à 10'000 fr.,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(ibidem, p. 135). Le large pouvoir d'examen en fait et en droit ainsi défini s'applique même si la décision attaquée est de nature provisionnelle (ibidem, p.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(ibidem, pp. 136-137).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p. 197; Spühler, Basler Kommentar, n. 7 ad art. 317 CPC; Reetz/Hilber, ZPO-Komm, n. 14 et 16 ad art. 317 CPC). Cette opinion se fonde essentiellement sur le Message du Conseil fédéral qui affirme que la maxime inquisitoire, lorsqu'elle est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op. cit., p. 139; Hohl, Procédure civile, Tome II, 2 e éd., no 2410 p. 437). Les parties peuvent toutefois faire valoir que le juge de première instance a violé la maxime inquisitoire en ne prenant pas en considération certains faits (Hohl, op. cit . , no 2414 p. 438). Des novas peuvent par ailleurs être en principe librement introduits en appel dans les causes régies par la maxime d'office, par exemple sur la situation des enfants mineurs en droit matrimonial (Tappy , op. cit ., p. 139), à tout le moins lorsque le juge de première instance a violé la maxime inquisitoire illimitée (Hohl, op. cit . , no 2415 p. 438).</w:t>
      </w:r>
    </w:p>
    <w:p>
      <w:r>
        <w:rPr>
          <w:b/>
        </w:rPr>
        <w:t>E. 3</w:t>
      </w:r>
    </w:p>
    <w:p>
      <w:r>
        <w:t>En l'espèce, la plupart des pièces produites par l'appelant sont irrecevables dès lors qu'elles auraient pu être produites en première instance. Il en va ainsi des documents fiscaux, tous antérieurs à l'audience de mesures protectrices de l'union conjugale du 25 février 2011, de même que l'« attestation d'intérêts crédit privé » du 12 janvier 2011 établie par la société [...]. Seuls le bail à loyer pour une place de parc daté du 24 février 2011 et la police d'assurance véhicule à moteur prenant effet au 24 février 2011 doivent être considérés comme produits sans retard et sont recevables.</w:t>
      </w:r>
    </w:p>
    <w:p>
      <w:r>
        <w:rPr>
          <w:b/>
        </w:rPr>
        <w:t>E. 4</w:t>
      </w:r>
    </w:p>
    <w:p>
      <w:r>
        <w:t>C'est à juste titre que l'appelant ne critique pas, compte tenu de la situation financière des époux, la méthode de fixation de la contribution d'entretien selon le solde disponible après prélèvement du minimum vital sur les revenus du débirentier (ATF 123 III 1). En revanche, il reproche au premier juge d'avoir calculé un minimum vital qui n'est pas en rapport avec ses dépenses effectives. L'appelant conteste tout d'abord le montant retenu à titre de remboursement de l'arriéré d'impôts commun aux époux. Parmi les postes entrant dans le minimum vital élargi, il n'est pas exclu de retenir les dettes contractées par les époux durant la vie commune (cf. Chaix, Commentaire romand, no 9 ad art. 176 CC ; FamPra 2005 178). Lors de l'audience du 25 février 2011, l'appelant a déclaré au premier juge que le remboursement du crédit relatif à l'arriéré d'impôts 2007 s'élevait mensuellement à 250 fr. (cf. prononcé p. 10, 1 er par.). Or, outre le fait que ce montant ne saurait être rediscuté en appel sur la base de pièces irrecevables, on constate que la somme des montants invoqués en appel ne diffère guère de celle retenue en première instance, exception faite des acomptes pour les impôts communaux et cantonaux 2011 qui n'entrent pas dans le minimum vital élargi lorsque les conditions financières sont, comme en l'espèce, serrées (cf. Bastons Bulletti, L'entretien après divorce : méthodes de calcul, montant, durée et limites, SJ 2007 II 88). Il n'y a donc pas matière à revoir ce poste. L'appelant fait ensuite valoir que ses frais de transport mensuels s'élèvent à 600 fr. et non pas à 300 fr., reconnaissant que le montant allégué résulte d'une estimation. On constate que c'est à nouveau sur la base de ses propres déclarations lors de l'audience du 25 février 2011 que le premier juge a retenu le montant contesté. En tout état de cause, même si l'on prenait en considération le montant mensualisé de 215 fr. 70 de la police d'assurance véhicule (2'377 fr. / 12) et le montant de 70 fr. pour la place de parc, il en résulterait un total en deçà du montant pris en compte par le premier juge (285 fr. 70). Pour le surplus, dans la mesure où l'intéressé se trouve actuellement en incapacité de travail, on ne voit pas que celui-ci puisse faire valoir des frais de transport supplémentaires. Ce moyen doit dès lors être rejeté. Quant aux montants que l'intéressé affirme dépenser mensuellement pour son assurance-maladie complémentaire et son assurance ménage (81 fr. 30 et 270 fr. respectivement), ils ne font pas partie du minimum vital élargi (cf. Bastons Bulletti, op. cit., SJ 2007 II 89). Enfin, le fait que le fils de l'appelant souhaite vivre avec lui dans son appartement à partir du 1 er avril 2011 relève de circonstances nouvelles qui doivent faire l'objet d'une nouvelle décision de mesures protectrices de l'union conjugale par le juge de première instance.</w:t>
      </w:r>
    </w:p>
    <w:p>
      <w:r>
        <w:rPr>
          <w:b/>
        </w:rPr>
        <w:t>E. 5</w:t>
      </w:r>
    </w:p>
    <w:p>
      <w:r>
        <w:t>En conclusion, l'appel doit être rejeté, en application de l'art. 312 al. 1 CPC, et le prononcé attaqué confirmé. L'appelant, qui succombe, est chargé des frais de deuxième instance, qu'il y a lieu d'arrêter à 600 fr. (art. 65 al. 2 TFJC [tarif du 28 septembre 2010 des frais judiciaires civils; RSV 270.11.5]). Il n'y a pas matière à dépens, l'intimée n'ayant pas été invitée à se déterminer. Par ces motifs, le juge délégué de la Cour d’appel civile du Tribunal cantonal, statuant à huis clos, en application de l'art. 312 al. 1 CPC, prononce : I. L’appel est rejeté. II. Le prononcé est confirmé. III. Les frais de justice de deuxième instance, arrêtés à 600 fr. (six cents francs), sont mis à la charge de l'appelant A.L.________. IV. L'arrêt motivé est exécutoire. Le juge délégué : La greffière : Du 13 avril 2011 Le dispositif de l'arrêt qui précède est communiqué par écrit aux intéressés. La greffière : Du L'arrêt qui précède, dont la rédaction a été approuvée à huis clos, est notifié en expédition complète, par l'envoi de photocopies, à : ‑ M. A.L.________ ‑ Me Olivier Boschetti (pour K.________)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