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225 vom 4. April 2011</w:t>
      </w:r>
    </w:p>
    <w:p>
      <w:r>
        <w:t>VD Tribunal cantonal, 2011-04-04, FR</w:t>
      </w:r>
    </w:p>
    <w:p>
      <w:r>
        <w:rPr>
          <w:b/>
        </w:rPr>
        <w:t xml:space="preserve">Quelle: </w:t>
      </w:r>
      <w:r>
        <w:t>https://mcp.opencaselaw.ch/entscheid/vd_findinfo_HC___2011___225</w:t>
      </w:r>
    </w:p>
    <w:p>
      <w:r>
        <w:t>FR: VD_FINDINFO HC / 2011 / 225 du 4 avril 2011</w:t>
      </w:r>
    </w:p>
    <w:p>
      <w:r>
        <w:t>IT: VD_FINDINFO HC / 2011 / 225 del 4 aprile 2011</w:t>
      </w:r>
    </w:p>
    <w:p>
      <w:pPr>
        <w:pStyle w:val="Heading2"/>
      </w:pPr>
      <w:r>
        <w:t>Regeste</w:t>
      </w:r>
    </w:p>
    <w:p>
      <w:r>
        <w:t>MESURE PROVISIONNELLE, NOUVEAU MOYEN DE PREUVE, NOUVEAU MOYEN DE FAIT | 176 al. 3 CC, 276 al. 1 CC, 308 al. 1 let. b CPC (CH), 317 al. 1 CPC (CH)</w:t>
      </w:r>
    </w:p>
    <w:p>
      <w:pPr>
        <w:pStyle w:val="Heading2"/>
      </w:pPr>
      <w:r>
        <w:t>Erwägungen</w:t>
      </w:r>
    </w:p>
    <w:p>
      <w:r>
        <w:rPr>
          <w:b/>
        </w:rPr>
        <w:t>E. 1</w:t>
      </w:r>
    </w:p>
    <w:p>
      <w:r>
        <w:t>a) L’ordonnance attaquée, qui a un caractère provisionnel dès lors qu’une procédure de divorce est pendante (ATF 95 II 68, JT 1970 I 285 ; Chaix, Commentaire romand, Code civil I, Bâle 2010, n. 3 ad art. 172 CC) a été rendue le 18 février 2011, de sorte que les voies de droit sont régies par le CPC (Code de procédure civile du 19 décembre 2008 ; RS 272), entré en vigueur le 1 er janvier 2011 (art. 405 al. 1 CPC). b) L'appel est ouvert contre les décisions de première instance sur les mesures provisionnelles, dans les affaires pécuniaires pour autant que la valeur litigieuse soit supérieure à 10'000 fr. (art. 308 al. 1 let. b et 308 al. 2 CPC). La procédure sommaire s’appliquant aux mesures provisionnelles en vertu de l'art. 248 let. d CPC, le délai pour l'introduction de l'appel est de dix jours (art. 314 al. 1 CPC). L’appel relève de la compétence d’un juge unique (art. 84 al. 2 LOJV ; loi du 12 décembre 1974 d’organisation judiciaire, RSV 173.01). Formé en temps utile par une partie qui y a intérêt et portant notamment sur des conclusions patrimoniales, qui, capitalisées selon l'art. 92 al. 2 CPC, sont supérieures à 10'000 fr., le présent appel est ouvert.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 Spühler, Basler Kommentar, n. 7 ad art. 317 CPC ; Reetz/Hilber, ZPO-Kommentar,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115; Hohl, Procédure civile, Tome II, 2è éd., no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b) L’appelant sollicite l’audition de témoins sans toutefois indiquer lesquels, ni s’ils seraient distincts de ceux qui ont été entendus en première instance. Il n’expose pas à quel sujet ces témoins pourraient s’exprimer, se bornant à évoquer « l’importance des faits nouveaux allégués au chapitre II » de l’appel. Il est question dans ce chapitre de l’historique de la maladie de l’intimée, d’évènements y relatifs à compter de 2001 et des courriers récents de la doctoresse [...]; ces éléments ont déjà fait l’objet d’une instruction en première instance. Il y est également question de plaintes que l’intimée aurait formées pour des déprédations commises dans la maison conjugale, qui dénoteraient selon l’appelant un trouble psychique. L’appelant n’établit cependant pas qu’il n’aurait pas pu faire porter l’instruction à ce sujet en première instance déjà. Il ne paraît au surplus pas nécessaire de procéder d’office à des investigations au sujet de ce grief de l’appelant, qui ne l’a pas empêché durant la vie commune de laisser son épouse s’occuper des enfants. Il en va de même pour l’épisode relatif à un portemonnaie perdu et à une attention réduite de l’intimée pour les devoirs des enfants également invoqués au chapitre II de l’appel. Enfin, le fait que les époux ne se soient pas accordés au sujet de la garde des enfants durant les vacances de février 2011 n’a rien d’extraordinaire au vu du conflit conjugal et ne justifie pas non plus une instruction complémentaire. L’appelant ne démontre ainsi pas que les conditions de l’art. 317 al. 1 CPC mentionnées plus haut seraient réunies pour administrer des preuves nouvelles, ni que celles-ci s’imposeraient dans le cadre de l’instruction d’office en ce qui concerne la situation des enfants. Il n’y a dès lors pas lieu de procéder à l’audition de témoins. c) L’appelant requiert aussi la production de pièces. La pièce 51 concerne des épisode d’hypoglycémie de l’intimée en 2002 et 2004. La pièce 52 concerne un tel épisode survenu en 2001 lors d’une consultation avec l’enfant C.H.________ au Service de la guidance infantile à Genève. La pièce 53 concerne les suites de l’arrêt de l’intimée sur la bande d’urgence de l’autoroute en 2004, la police ayant adressé une copie de son rapport au Service de protection de la jeunesse genevois. Tous ces éléments sont manifestement trop anciens pour présenter un intérêt dans le cadre de mesures provisionnelles actuelles, ce qui justifie de ne pas donner suite aux réquisitions de l’appelant.</w:t>
      </w:r>
    </w:p>
    <w:p>
      <w:r>
        <w:rPr>
          <w:b/>
        </w:rPr>
        <w:t>E. 3</w:t>
      </w:r>
    </w:p>
    <w:p>
      <w:r>
        <w:t>L’appelant prétend que l’état de santé de son épouse ne lui permettrait pas de s’occuper correctement de leurs enfants. En vertu de l’art. 176 al. 3 CC (Code civil suisse du 10 décembre 1907, RS 210) relatif à l’organisation de la vie séparée,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(Verena Bräm, Zürcher Kommentar, 2 ème éd., nn. 89 et 101 ad art. 176 CC cité in TF 5A_693/2007 du 18 février 2008 ; Chaix, Commentaire romand, Code civil I, Bâle 2010, n. 19 ad art. 176 CC). La règle fondamentale en ce domaine est l’intérêt de l’enfant, celui des parents étant relegué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 ATF 117 II 353 c. 3 ; ATF 115 II 206 c. 4a ; ATF 115 II 317 c. 2 ; FamPra.ch 2006 n° 20, p. 193 ; FamPra.ch 2008 n° 104, p. 981). En l’espèce, il ressort de l’avis du médecin traitant de l’intimée que le diabète de celle-ci ne l’empêche pas de garder des enfants en bas âge. S’il est vrai qu’à certaines occasions, ainsi récemment à la piscine thermale d’Yverdon-les-Bains, une hypoglycémie de l’intimée a perturbé la prise en charge des enfants, il n’y a pas à en déduire que l’intimée présenterait une incapacité à l’égard de ceux-ci, qui ne sont d’ailleurs plus à proprement en bas âge. En mettant en évidence certaines défaillances de son épouse, l’appelant perd de vue qu’il s’est accommodé de l’état de celle-ci durant plusieurs années en lui laissant le soin de s’occuper seule des enfants. Or, rien ne permet d’admettre soit qu’il ne s’était pas rendu compte de la situation, soit que celle-ci aurait évolué à tel point que ce qui était adéquat en 2010, avant l’engagement de la procédure, ne le serait plus aujourd’hui. Ce moyen doit être rejeté. Dès lors que l’état de santé de l’intimée ne justifie pas de modifier l’attribution de la garde des enfants décidée par le premier juge, l’appelant ne peut pas revendiquer la jouissance de la maison conjugale. Le premier juge a exposé en effet de façon convaincante que la stabilité dont les enfants ont besoin conduisait à les maintenir avec leur mère dans cette maison. Cela étant, l’appelant ne peut pas non plus prétendre à une contribution d’entretien pour ses enfants.</w:t>
      </w:r>
    </w:p>
    <w:p>
      <w:r>
        <w:rPr>
          <w:b/>
        </w:rPr>
        <w:t>E. 4</w:t>
      </w:r>
    </w:p>
    <w:p>
      <w:r>
        <w:t>avril 2011 Le dispositif de l'arrêt qui précède est communiqué par écrit aux intéressés. Le greffier : Du L'arrêt qui précède, dont la rédaction a été approuvée à huis clos, est notifié en expédition complète, par l'envoi de photocopies, à : ‑ Me Philippe Chaulmontet (pour A.H.________) ‑ Me Marguerite Florio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