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222 vom 8. Februar 2011</w:t>
      </w:r>
    </w:p>
    <w:p>
      <w:r>
        <w:t>VD Tribunal cantonal, 2011-02-08, FR</w:t>
      </w:r>
    </w:p>
    <w:p>
      <w:r>
        <w:rPr>
          <w:b/>
        </w:rPr>
        <w:t xml:space="preserve">Quelle: </w:t>
      </w:r>
      <w:r>
        <w:t>https://mcp.opencaselaw.ch/entscheid/vd_findinfo_HC___2011___222</w:t>
      </w:r>
    </w:p>
    <w:p>
      <w:r>
        <w:t>FR: VD_FINDINFO HC / 2011 / 222 du 8 février 2011</w:t>
      </w:r>
    </w:p>
    <w:p>
      <w:r>
        <w:t>IT: VD_FINDINFO HC / 2011 / 222 del 8 febbraio 2011</w:t>
      </w:r>
    </w:p>
    <w:p>
      <w:pPr>
        <w:pStyle w:val="Heading2"/>
      </w:pPr>
      <w:r>
        <w:t>Regeste</w:t>
      </w:r>
    </w:p>
    <w:p>
      <w:r>
        <w:t>MESURE PROVISIONNELLE, RECTIFICATION DE LA DÉCISION, VICE DE FORME | 308 al. 1 let. b CPC (CH), 310 CPC (CH)</w:t>
      </w:r>
    </w:p>
    <w:p>
      <w:pPr>
        <w:pStyle w:val="Heading2"/>
      </w:pPr>
      <w:r>
        <w:t>Erwägungen</w:t>
      </w:r>
    </w:p>
    <w:p>
      <w:r>
        <w:rPr>
          <w:b/>
        </w:rPr>
        <w:t>E. 1</w:t>
      </w:r>
    </w:p>
    <w:p>
      <w:r>
        <w:t>L'appel est recevable contre les décisions de première instance sur les mesures provisionnelles (art. 308 al. 1 let. b CPC) communiquées après le 1 er janvier 2011, dans les causes non patrimoniales ou dont la valeur litigieuse est supérieure à 10'000 fr. (art. 308 al. 2 CPC). Lorsque la décision attaquée porte à la fois sur des conclusions non patrimoniales et patrimoniales pour moins de 10'000 fr., l’appel est recevable pour le tout, par attraction (Tappy, Les voies de droit du nouveau Code de procédure civile in JT 2010 III 115 ss, spéc. p. 126). Les ordonnances de mesures provisionnelles étant régies par la procédure sommaire selon l’art. 248 let. d CPC, de même qu’en vertu de l’art. 271 CPC par renvoi de l’art. 276 CPC, pour les procédures matrimoniales,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rPr>
          <w:b/>
        </w:rPr>
        <w:t>E. 3</w:t>
      </w:r>
    </w:p>
    <w:p>
      <w:r>
        <w:t>Il convient en premier lieu d’examiner la question de la validité formelle de l’ordonnance attaquée, dont la page de garde indique qu’elle a été rendue à une date à laquelle le Président [...] n’était plus en fonction parce qu’il était alors à la retraite. Selon l'art. 30 al. 1 Cst. - qui, de ce point de vue, a la même portée que l'art. 6 § 1 CEDH (ATF 127 I 196 consid. 2b p. 198) -, toute personne dont la cause doit être jugée dans une procédure judiciaire a droit à ce qu'elle soit portée devant un tribunal établi par la loi, compétent, indépendant et impartial. Selon la jurisprudence, le droit des parties à une composition régulière du tribunal impose des exigences minimales en procédure cantonale; il interdit les tribunaux d'exception et la mise en oeuvre de juges ad hoc ou ad personam et exige dès lors, en vue d'empêcher toute manipulation et afin de garantir l'indépendance nécessaire, une organisation judiciaire et une procédure déterminées par un texte légal (ATF 129 V 335  consid. 1.3.1 p. 338 et les références). Le droit à un tribunal établi par la loi est notamment violé lorsqu'un juge participe encore à la décision après la fin de sa période de fonction. La composition irrégulière de la juridiction est un vice fondamental, qui ne peut pas être réparé; seul un nouveau jugement, rendu par un tribunal établi conformément à la loi, est susceptible de rétablir une situation conforme au droit. Il faut cependant distinguer le cas où les juges ont cessé leur fonction avant que le tribunal ne statue de celui où ils l'ont quitté une fois que le tribunal a rendu son arrêt mais avant qu'il n'en ait notifié les considérants. Dans cette dernière hypothèse uniquement, il ne serait pas inconcevable que la rédaction de l'arrêt soit soumise à l'approbation des juges après la fin de leur activité (TF 1C_235/2008 du 13 mai 2009 c. 3.2.1 et réf. citées ; TF 9C_185/2009 du 19 août 2009 c. 2.1.2). En l’espèce, selon les indications qui figurent sur la page de garde de l’ordonnance de mesures provisionnelles, il apparaît que cette décision a été rendue à une date – le 28 janvier 2011 – à laquelle le Président [...] ne pouvait plus être en fonction. De plus, l’ordonnance commence par indiquer que le juge a statué à huis clos, sans préciser qu’il l’a fait immédiatement, comme c’est l’usage lorsque le juge prend sa décision sitôt après l’audience. Entachée d’un vice fondamental, la décision ne pourrait donc en principe qu’être annulée. Compte tenu des explications que le président [...] a fournies à ce propos, l’annulation de la décision ne semble cependant pas a priori aussi évidente qu’il y paraît. En effet, dans ses déterminations, le Président [...] expose qu’il a statué au terme de l’audience de mesures provisionnelles, conformément à l’usage systématique des tribunaux de première instance vaudois, et que la décision a ensuite été rédigée, puis notifiée, opérations qui, matériellement, ne peuvent être exécutées le même jour. Selon toute vraisemblance, la date du 28 janvier 2011 qui figure sur la page de garde de la décision correspondrait donc à la date à laquelle celle-ci a été envoyée aux parties pour notification. Cela étant, il convient de relever qu’il est inadéquat d’indiquer sur la page de garde d’une décision, sous la mention « rendue le », une date qui, contrairement à ce qui est précisé, ne correspond pas à la date à laquelle la décision a été prononcée, mais à celle à laquelle elle a été adressée pour notification aux parties. La pratique consistant à indiquer sur la page de garde la mention « séance du… » ou « audience du … », avec la date à laquelle la décision a effectivement été rendue, suivie, à la fin de l’arrêt, de la date de l’envoi de la décision aux parties pour notification, apparaît bien plus adéquate sous l’angle de la rigueur juridique. Quoi qu’il en soit, la question de savoir si l’indication de la date discutée justifie ou non, en elle-même, l’annulation de l’ordonnance, peut rester ouverte en l’espèce, pour les motifs qui suivent. L’ordonnance de mesures provisionnelles litigieuse a été suivie d’un prononcé rectificatif qui a été rendu le 11 février 2011. En dernière page, à l’endroit de la signature du président, ce prononcé comporte la mention « Le président », complétée en dessous d’une signature manuscrite, laquelle, à l’évidence, ne correspond pas au nom dactylographié «  [...] [...] », figurant juste au-dessous. N’ayant pas été rendu par le Président [...], ce prononcé rectificatif est par conséquent entaché d’un vice grave qui justifie son annulation. Cela étant, même s’il avait été rendu par le Président précité, il aurait de toute façon dû être annulé en raison des principes jurisprudentiels rappelés ci-dessus, puisqu’il aurait été alors rendu par un magistrat ayant cessé ses fonctions. Un prononcé de rectification étant indissociable de la décision qu’il rectifie, il n’est pas imaginable que, lorsqu’il est annulé, la décision qu’il modifie puisse subsister. L’annulation du second doit donc entraîner l’annulation de la première. Il s’ensuit que l’ordonnance de mesures provisionnelles «  rendue le 28 janvier 2011 » et le prononcé rectificatif « rendu le 11 février 2011 » doivent être conjointement annulés.</w:t>
      </w:r>
    </w:p>
    <w:p>
      <w:r>
        <w:rPr>
          <w:b/>
        </w:rPr>
        <w:t>E. 4</w:t>
      </w:r>
    </w:p>
    <w:p>
      <w:r>
        <w:t>En conclusion, les appels doivent être admis, l’ordonnance de mesures provisionnelles du 28 janvier 2011 et la décision rectificative du 11 février 2011 annulées et le dossier de la cause doit être renvoyé au Président du Tribunal civil de l’arrondissement de l’Est vaudois pour prononcé d’une nouvelle décision. L’intimée I.________, qui succombe, ayant été mise au bénéfice de l’assistance judiciaire, les frais de deuxième instance, d’un montant de 600 fr., et l’indemnité due au conseil d’office, fixée à 600 fr., doivent rester à la charge de l’Etat, sous réserve de l’obligation de restitution prévue par l’art. 123 CPC. Enfin, ayant obtenu gain de cause, l’appelant E.________ a droit à un montant de 1'000 fr. à titre de dépens de deuxième instance. Par ces motifs, le juge délégué de la Cour d’appel civile du Tribunal cantonal, statuant à huis clos, prononce : I. Les appels sont admis. II. L’ordonnance de mesures provisionnelles du 28 janvier 2011 et la décision de rectification du 11 février 2011 sont annulées et le dossier renvoyé au Président du Tribunal civil de l’arrondissement de l’Est vaudois pour nouvelle décision. III. Les frais judiciaires de deuxième instance, arrêtés à 600 fr. (six cents francs), sont laissés à la charge de l’Etat. IV. L’indemnité d’office de Maître Marguerite Florio, conseil de l’intimée, est arrêtée à 600 fr. (six cents francs). V. Le bénéficiaire de l’assistance judiciaire est, dans la mesure de l’art. 123 CPC, tenu au remboursement des frais judiciaires et de l’indemnité au conseil d’office mis à la charge de l’Etat. VI. L’intimée I.________, doit verser à l’appelant E.________ la somme de 1'000 fr. (mille francs), à titre de dépens de deuxième instance. VII. L’arrêt motivé est exécutoire. Le juge délégué : La greffière : Du 3 mai 2011 Le dispositif de l'arrêt qui précède est communiqué par écrit aux intéressés. La greffière : Du L'arrêt qui précède, dont la rédaction a été approuvée à huis clos, est notifié en expédition complète, par l'envoi de photocopies à : ‑ Me Jean Lob (pour M. E.________), ‑ Me Marguerite Florio (pour Mme I.________.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