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209 vom 26. April 2011</w:t>
      </w:r>
    </w:p>
    <w:p>
      <w:r>
        <w:t>VD Tribunal cantonal, 2011-04-26, FR</w:t>
      </w:r>
    </w:p>
    <w:p>
      <w:r>
        <w:rPr>
          <w:b/>
        </w:rPr>
        <w:t xml:space="preserve">Quelle: </w:t>
      </w:r>
      <w:r>
        <w:t>https://mcp.opencaselaw.ch/entscheid/vd_findinfo_HC___2011___209</w:t>
      </w:r>
    </w:p>
    <w:p>
      <w:r>
        <w:t>FR: VD_FINDINFO HC / 2011 / 209 du 26 avril 2011</w:t>
      </w:r>
    </w:p>
    <w:p>
      <w:r>
        <w:t>IT: VD_FINDINFO HC / 2011 / 209 del 26 aprile 2011</w:t>
      </w:r>
    </w:p>
    <w:p>
      <w:pPr>
        <w:pStyle w:val="Heading2"/>
      </w:pPr>
      <w:r>
        <w:t>Regeste</w:t>
      </w:r>
    </w:p>
    <w:p>
      <w:r>
        <w:t>MESURE DE CONTRAINTE{DROIT DES ÉTRANGERS}, DEVOIR DE COLLABORER, SÉJOUR ILLÉGAL, DILIGENCE, PROPORTIONNALITÉ | 76 al. 1 let. b ch. 3 LEtr, 76 al. 1 let. b ch. 4 LEtr, 76 al. 4 LEtr, 79 LEtr, 30 al. 1 LVLEtr, 31 al. 1 LVLEtr,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a un intérêt à procéder,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à l'appui de leur recours et déterminations respectifs sont ainsi recevables.</w:t>
      </w:r>
    </w:p>
    <w:p>
      <w:r>
        <w:rPr>
          <w:b/>
        </w:rPr>
        <w:t>E. 3</w:t>
      </w:r>
    </w:p>
    <w:p>
      <w:r>
        <w:t>Le Juge de paix du district de Lausanne est l'autorité compétente en vertu des art. 17 et 20 LVLEtr. Saisi d'une requête motivée et documentée du SPOP du 22 mars 2011, il a procédé à l'audition du recourant le 23 mars 2011 et résumé ses déclarations au procès-verbal dans ce qu'elles avaient d'utile (art. 21 al. 1 et 2 LVLEtr). Le recourant a par ailleurs fait usage de son droit de demander la désignation d'un conseil d'office, lequel a été désigné le 24 mars 2011 en la personne de l’avocate Flore Primault. A l'issue de l'audition, le premier juge a immédiatement rendu un ordre de mise en détention et notifié sa décision motivée au recourant, le 25 mars 2011, soit dans le délai légal de nonante-six heures (art. 16 al. 1 LVLEtr). La procédure suivie en première instance a par conséquent été régulière.</w:t>
      </w:r>
    </w:p>
    <w:p>
      <w:r>
        <w:rPr>
          <w:b/>
        </w:rPr>
        <w:t>E. 4</w:t>
      </w:r>
    </w:p>
    <w:p>
      <w:r>
        <w:t>a) Le recourant se prévaut en premier lieu d’une violation de l’art. 76 al. 1 let. b ch. 3 et 4 LEtr, soutenant que les conditions posées par cette disposition ne seraient pas remplies en l’espèce pour le motif que les éléments avancés par le SPOP, ainsi que par le premier juge, ne seraient pas de nature à faire craindre qu’il tenterait de se soustraire à son renvoi ou à son expulsion. Il conteste en particulier avoir disparu à la suite du rejet de sa demande d’asile, alléguant s’être au contraire librement présenté à plusieurs auditions devant les délégations gambienne, puis sénégalaise, et estime par ailleurs que ses antécédents pénaux, sans pertinence ici, n’ont pas à être pris en considération.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En l’espèce, le recourant s’est vu signifier son renvoi de Suisse, le 23 octobre 2008. En dépit du délai qui lui avait été imparti jusqu’au 8 novembre 2008 pour quitter notre pays, il n’a pas obtempéré. Il n’a pas non plus donné suite aux avertissements donnés par le SPOP, le 19 décembre 2008, selon lesquels il serait placé en détention administrative s’il ne s’exécutait pas. Convoqué par le SPOP pour le 9 juin suivant, il ne s’est pas présenté. Ensuite, il ne s’est plus manifesté. Le 21 janvier 2010, le SPOP a signalé la disparition du recourant, à compter du 12 novembre 2009. L’intéressé n’a réapparu que le 30 août 2010. Le 10 mars 2011, le SPOP a fait auditionner T.________ par une délégation sénégalaise qui l’a reconnu comme un ressortissant sénégalais. T.________ a été avisé qu’un laissez-passer serait délivré. Entendu par le juge de paix le 23 mars 2011, il a néanmoins réitéré son refus de partir de Suisse, soutenant qu’il rencontrerait des problèmes s’il retournait au Sénégal, sans, toutefois, préciser la nature de ceux-ci. La simple supposition qu’un individu pourrait se soustraire à son renvoi ne suffit pas à justifier sa détention administrative  (ATF 129 I 139, c. 4.2.1). Toutefois, le comportement que le recourant a adopté en l’occurrence permet d’affirmer qu’il existe un faisceau d’indices indiquant qu’il tente de se soustraire à son renvoi et que sa détention est justifiée au sens de la jurisprudence fédérale (ATF 130 II 56, c.3.1 ; ATF 125 II 369, c. 3b/aa ; ATF 122 II 49, c. 50). En particulier, le fait qu’il se soit réfugié dans la clandestinité, entre le 12 novembre 2009 et le 30 août 2010, démontre, en dépit de ses dénégations, qu’il s’efforce d’échapper à la mesure de refoulement dont il est l’objet. En ordonnant se mise en détention administrative, le premier juge n’a donc pas violé l’art. 76 al. 1 let. b ch. 3 et 4 LEtr. Sa décision est d’autant plus fondée que les éléments qui lui sont postérieurs, en particulier le fait que le recourant a refusé d’embarquer dans l’avion le 19 avril dernier, confirment l’idée que le recourant tente d’éviter l’exécution de la mesure qui doit lui être appliquée. Ce premier moyen est donc infondé.</w:t>
      </w:r>
    </w:p>
    <w:p>
      <w:r>
        <w:rPr>
          <w:b/>
        </w:rPr>
        <w:t>E. 5</w:t>
      </w:r>
    </w:p>
    <w:p>
      <w:r>
        <w:t>a) En deuxième lieu, le recourant se prévaut d’une violation de l’art. 76 al. 4 LEtr. Selon cette disposition, les démarches nécessaires à l’exécution du renvoi ou de l’expulsion doivent être entreprises sans tarder. Se référant à l’ATF 124 II 49, le recourant soutient que le principe de diligence n’a, en l’espèce, pas été respecté, faisant valoir que les autorités n’ont pris aucune disposition concrète depuis plus de deux mois pour le renvoyer, et que, ni les autorités étrangères ni lui-même ne sont responsables de ce retard. Il critique aussi le laps de temps qui s’est écoulé entre l’entrée en force de la décision de non entrée en matière sur sa demande d’asile et la décision querellée. b) Comme le relève pertinemment le SPOP dans ses déterminations, le recourant a négligé de retirer la première convocation qui lui avait été adressée. Il pas non plus signalé son changement d’adresse. Or, l’art 8 al. 4 LAsi lui fait obligation de collaborer à son renvoi. En outre, il a refusé catégoriquement, à deux reprises, de quitter la Suisse. Cela étant, le devoir de diligence dont sont comptables les autorités chargées du renvoi s’applique après la mise en détention administrative. Ce principe vise à limiter la durée de la détention au minimum nécessaire et s’applique lorsque le détenu n’est plus en mesure de quitter le territoire par ses propres moyens. Force est de constater en l’espèce que le devoir de diligence a été particulièrement respecté : un vol à destination du Sénégal a été organisé pour le 19 avril 2011, soit moins d’un mois après que le recourant a été placé en détention administrative. On ne peut donc reprocher au SPOP d’avoir failli au principe de diligence prévu par l’art. 76 al. 4 LETr. Ce deuxième moyen est également infondé.</w:t>
      </w:r>
    </w:p>
    <w:p>
      <w:r>
        <w:rPr>
          <w:b/>
        </w:rPr>
        <w:t>E. 6</w:t>
      </w:r>
    </w:p>
    <w:p>
      <w:r>
        <w:t>a) Enfin, le recourant invoque une violation du principe de proportionnalité au motif que la durée de la détention, qui a été prononcée d’emblée pour six mois, serait excessive et inutile. b) L’art. 79 al. 1 LEtr prévoit que la durée de la détention administrative peut être ordonnée pour six mois au plus et qu’elle peut être prolongée d’une année, sous certaines conditions. c) La mesure que critique le recourant respecte aussi bien la durée légale précitée que le principe de proportionnalité. En effet, le renvoi du recourant devrait manifestement pouvoir intervenir avant l’échéance du délai maximal de détention de dix-huit mois prévu par la norme fédérale. Selon le Tribunal fédéral, ce n’est en effet que lorsque des raisons sérieuses laissent penser que la mesure d’éloignement ne pourra pas intervenir avant la fin du délai légal qu’une détention est inadmissible sous l’angle de la proportionnalité (TF 2A.549/2003 du 3 décembre 2003). Pour le surplus, la durée de détention prévue à l’art. 79 al. 1 LETr relève de l’appréciation du juge. En l’espèce, le juge de paix n’a pas abusé de ses prérogatives à cet égard. Au reste, un nouveau vol, cette fois, vraisemblablement accompagné, devrait pouvoir être rapidement organisé. Il s’ensuit que le troisième moyen invoqué par le recourant à ce titre est aussi mal fondé.</w:t>
      </w:r>
    </w:p>
    <w:p>
      <w:r>
        <w:rPr>
          <w:b/>
        </w:rPr>
        <w:t>E. 7</w:t>
      </w:r>
    </w:p>
    <w:p>
      <w:r>
        <w:t>Par conséquent, le recours doit être rejeté et l’ordonnance confirmée. L’arrêt peut être rendu sans frais. Par ces motifs, la Chambre des recours civile du Tribunal cantonal, statuant à huis clos, prononce : I. Le recours est rejeté. II. L’ordonnance est confirmée. III. L’arrêt est rendu sans frais. IV. L’arrêt motivé est exécutoire. Le vice-président : La greffière : Du 2 mai 2011 Le dispositif de l'arrêt qui précède est communiqué par écrit aux intéressés. La greffière : Du L'arrêt qui précède, dont la rédaction a été approuvée à huis clos, est notifié en expédition complète, par l'envoi de photocopies, à : ‑ Me Flore Primault (pour T.________),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