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205 vom 6. April 2011</w:t>
      </w:r>
    </w:p>
    <w:p>
      <w:r>
        <w:t>VD Tribunal cantonal, 2011-04-06, FR</w:t>
      </w:r>
    </w:p>
    <w:p>
      <w:r>
        <w:rPr>
          <w:b/>
        </w:rPr>
        <w:t xml:space="preserve">Quelle: </w:t>
      </w:r>
      <w:r>
        <w:t>https://mcp.opencaselaw.ch/entscheid/vd_findinfo_HC___2011___205</w:t>
      </w:r>
    </w:p>
    <w:p>
      <w:r>
        <w:t>FR: VD_FINDINFO HC / 2011 / 205 du 6 avril 2011</w:t>
      </w:r>
    </w:p>
    <w:p>
      <w:r>
        <w:t>IT: VD_FINDINFO HC / 2011 / 205 del 6 aprile 2011</w:t>
      </w:r>
    </w:p>
    <w:p>
      <w:pPr>
        <w:pStyle w:val="Heading2"/>
      </w:pPr>
      <w:r>
        <w:t>Regeste</w:t>
      </w:r>
    </w:p>
    <w:p>
      <w:r>
        <w:t>EXPULSION DE LOCATAIRE, DROIT TRANSITOIRE | 257d CO, 308 al. 2 CPC (CH), 319 let. a CPC (CH), 405 CPC (CH)</w:t>
      </w:r>
    </w:p>
    <w:p>
      <w:pPr>
        <w:pStyle w:val="Heading2"/>
      </w:pPr>
      <w:r>
        <w:t>Erwägungen</w:t>
      </w:r>
    </w:p>
    <w:p>
      <w:r>
        <w:rPr>
          <w:b/>
        </w:rPr>
        <w:t>E. 1</w:t>
      </w:r>
    </w:p>
    <w:p>
      <w:r>
        <w:t>a) La LPEBL (loi du 18 mai 1955 sur la procédure d'expulsion en matière de baux à loyer et à ferme) et le CPC-VD (Code de procédure civile vaudois du 14 décembre 1966) ont été abrogés par l'entrée en vigueur le 1 er janvier 2011 du CPC. La décision attaquée a été communiquée aux parties le 8 février 2011, si bien que le recours dirigé contre elle est régi par le CPC (art. 405 al. 1 CPC). b) La décision attaquée est une décision finale de première instance, susceptible d'appel dans les affaires patrimoniales lorsque la valeur litigieuse atteint selon les dernières conclusions la somme de 10'000 fr. au moins (art. 308 al.</w:t>
      </w:r>
    </w:p>
    <w:p>
      <w:r>
        <w:rPr>
          <w:b/>
        </w:rPr>
        <w:t>E. 2</w:t>
      </w:r>
    </w:p>
    <w:p>
      <w:r>
        <w:t>Le recours est recevable pour violation du droit et constatation manifestement inexacte des faits (art. 320 CPC). Le recours n'est pas suspensif (art. 325 al. 1 CPC). En l'espèce, le recourant ne conteste pas la résiliation de son bail ni le principe de son expulsion. Il sollicite uniquement un délai supplémentaire pour libérer les locaux, compte tenu de sa situation personnelle.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d'habitations et les locaux commerciaux (al. 1). Faute de paiement dans le délai fixé, le bailleur peut résilier les baux d'habitations et de locaux commerciaux, moyennant un délai congé minimum de 30 jours pour la fin du mois (al. 2). Avec le premier juge, il faut constater que le congé donné par la partie bailleresse pour le 30 novembre 2011 (recte 30 novembre 2010) respecte les conditions de l'art. 257d CO. La décision attaquée doit par conséquent être confirmée sur la question de l'expulsion.</w:t>
      </w:r>
    </w:p>
    <w:p>
      <w:r>
        <w:rPr>
          <w:b/>
        </w:rPr>
        <w:t>E. 3</w:t>
      </w:r>
    </w:p>
    <w:p>
      <w:r>
        <w:t>Le recourant invoque des difficultés de déménagement, mais se réfère aussi à la mauvaise santé de son épouse et à la charge de deux enfants handicapés pour solliciter une prolongation du délai de départ. La jurisprudence a précisé que, lorsque le locataire n'avait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4 février 1997, in Cahiers du Bail [CdB] 3/97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cour de céans considérait sous l'empire de l'ancien droit cantonal abrogé par l'entrée en vigueur du CPC, que, sauf cas particulier, un délai de libération des locaux de quinze à vingt jours était admissible (Guignard, in Procédures spéciales vaudoises, Lausanne 2008, n. 2 ad art. 17 LPEBL, p. 196 et références). En l'espèce, l'autorité de première instance a tenu compte du temps nécessaire pour le déménagement en fixant un délai au 15 mars 2011 pour libérer les locaux. Les modalités de l'expulsion ne sont ainsi pas contraires au droit. De toute manière, le principe de proportionnalité devra être examiné, le cas échéant, dans le cadre de la procédure d'exécution forcée.</w:t>
      </w:r>
    </w:p>
    <w:p>
      <w:r>
        <w:rPr>
          <w:b/>
        </w:rPr>
        <w:t>E. 4</w:t>
      </w:r>
    </w:p>
    <w:p>
      <w:r>
        <w:t>En définitive, le recours doit être rejeté, en application de l'art. 322 al. 1 CPC, et l'ordonnance d'expulsion confirmée. Les frais judiciaires de deuxième instance sont arrêtés à 100 fr. (art. 69 al. 2 TFJC [tarif des frais judiciaires en matière civile du 28 septembre 2010; RSV 270.11.5]). Les frais, qui comprennent les dépens selon l'art. 95 al. 1CPC, doivent être mis à la charge de la partie qui succombe (art. 106 al. 1 CPC). En l'espèce, le recourant succombe et supportera les frais de justice. L'intimée n'ayant pas procédé, il ne sera pas alloué de dépens. Par ces motifs, la Chambre des recours civile du Tribunal cantonal, statuant à huis clos, prononce : I. Le recours est rejeté. II. L'ordonnance est confirmée. III. Les frais de deuxième instance du recourant A.________ sont arrêtés à 100 fr. (cent francs). IV. L'arrêt motivé est exécutoire. Le président :               Le greffier : Du</w:t>
      </w:r>
    </w:p>
    <w:p>
      <w:r>
        <w:rPr>
          <w:b/>
        </w:rPr>
        <w:t>E. 7</w:t>
      </w:r>
    </w:p>
    <w:p>
      <w:r>
        <w:t>avril 2011 Le dispositif de l'arrêt qui précède est communiqué par écrit aux intéressés. Le greffier : Du 17 mai 2011 L'arrêt qui précède, dont la rédaction a été approuvée à huis clos, est notifié à : ‑ M. A.________, ‑ Mme L.________. La Chambre des recours civile considère que la valeur litigieuse est de 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