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199 vom 9. März 2011</w:t>
      </w:r>
    </w:p>
    <w:p>
      <w:r>
        <w:t>VD Tribunal cantonal, 2011-03-09, FR</w:t>
      </w:r>
    </w:p>
    <w:p>
      <w:r>
        <w:rPr>
          <w:b/>
        </w:rPr>
        <w:t xml:space="preserve">Quelle: </w:t>
      </w:r>
      <w:r>
        <w:t>https://mcp.opencaselaw.ch/entscheid/vd_findinfo_HC___2011___199</w:t>
      </w:r>
    </w:p>
    <w:p>
      <w:r>
        <w:t>FR: VD_FINDINFO HC / 2011 / 199 du 9 mars 2011</w:t>
      </w:r>
    </w:p>
    <w:p>
      <w:r>
        <w:t>IT: VD_FINDINFO HC / 2011 / 199 del 9 marzo 2011</w:t>
      </w:r>
    </w:p>
    <w:p>
      <w:pPr>
        <w:pStyle w:val="Heading2"/>
      </w:pPr>
      <w:r>
        <w:t>Regeste</w:t>
      </w:r>
    </w:p>
    <w:p>
      <w:r>
        <w:t>CONTRAT DE TRAVAIL, RÉSILIATION, ACCORD DE VOLONTÉS, CONTRAT DE DURÉE DÉTERMINÉE | 115 CO, 18 CO, 334 al. 1 CO, 451 CPC, 452 al. 2 CPC, 465 al. 1 CPC, 46 al. 1 LJT, 46 al. 2 LJT,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Dite communication est tenue pour opérée dès la signification du judicatum, en particulier dès l'envoi du dispositif de la décision aux parties (Tappy, Le droit transitoire applicable lors de l'introduction de la nouvelle procédure civile unifiée, in JT 2010 III 11 ss, spéc. pp. 31 s.; TF 4A_106/2011 du 31 mars 2011 c. 2). En l'occurrence, il importe peu que la motivation du jugement attaqué soit intervenue en 2011, dès lors que le dispositif de la décision a été adressé pour notification aux parties le 11 novembre 2010. Sont donc applicables les dispositions en vigueur à cette date, en particulier celles contenues dans la LJT (loi sur la juridiction du travail, dans sa version du 17 mai 1999 en vigueur jusqu'au 31 décembre 2010; RSV 173.61) ainsi que dans le CPC-VD (Code de procédure civile du 14 décembre 1966, en vigueur jusqu'au 31 décembre 2010; RSV 270.11). b) Résultant du contrat de travail, le litige qui divise les parties est régi par l'art. 343 CO (Code des obligations du 30 mars 1911; RS 220) et la LJT dans sa version précitée. Il relève de la compétence du tribunal de prud'hommes, la valeur litigieuse n'excédant pas 30'000 fr. (art. 2 aI. 1 let. a aLJT). L'art. 46 al. 1 aLJT ouvre la voie des recours en nullité et en réforme au Tribunal cantonal contre les jugements rendus par un tribunal de prud'hommes, selon les art. 444, 445 et 451 CPC-VD. Sous réserve des art. 47 à 52 aLJT, les règles ordinaires de la procédure civile contentieuse en matière de recours contre les jugements des tribunaux d'arrondissement et des présidents rendus en procédure accélérée ou sommaire sont applicables (art 46 al. 2 aLJT). En l'occurrence, le recours est exclusivement en réforme. Interjeté en temps utile, il est formellement recevable en application des art. 46 à 48 aLJT. La conclusion en suppression du ch. I du jugement doit conduire à ce que le défendeur n'est pas le débiteur du montant alloué à titre de salaire au demandeur, la conclusion en paiement correspondante du demandeur étant rejetée (cf. ch. I du dispositif du même jugement).</w:t>
      </w:r>
    </w:p>
    <w:p>
      <w:r>
        <w:rPr>
          <w:b/>
        </w:rPr>
        <w:t>E. 2</w:t>
      </w:r>
    </w:p>
    <w:p>
      <w:r>
        <w:t>aLJT; JT 2003 III 3).</w:t>
      </w:r>
    </w:p>
    <w:p>
      <w:r>
        <w:rPr>
          <w:b/>
        </w:rPr>
        <w:t>E. 3</w:t>
      </w:r>
    </w:p>
    <w:p>
      <w:r>
        <w:t>Le recourant fait valoir que, sur la base des faits retenus dans le jugement attaqué, il appert qu'il y a eu effectivement accord entre les parties et que leur réelle intention, conformément à l'art. 18 CO, était bien de mettre un terme à leur contrat de travail le 29 juin 2010. Il soutient que le consentement de l'intimé a été donné librement et sans pression, que partant les prétentions salariales de ce dernier sont infondées et que le jugement doit par conséquent être réformé en ce sens qu'il n'est pas débiteur du montant alloué au demandeur au ch. I du dispositif du jugement.</w:t>
      </w:r>
    </w:p>
    <w:p>
      <w:r>
        <w:rPr>
          <w:b/>
        </w:rPr>
        <w:t>E. 4</w:t>
      </w:r>
    </w:p>
    <w:p>
      <w:r>
        <w:t>ème éd., par. 46, n. 3633 p. 541). La caractéristique première d'un contrat de ce type est que les parties contractantes ne peuvent y mettre fin avant le terme convenu, à moins que celle qui en veut l'extinction prématurée puisse invoquer un juste motif de résiliation immédiate (cf. Staehelin, Zürcher Kommentar, 1996, n. 17 ad art. 334 CO, p. A479; Wyler, Droit du travail, 2 ème éd., pp. 436-437). Les parties ont néanmoins la faculté de rompre en tout temps le contrat de travail par convention (Aufhebungsvertrag), pour autant qu'elles ne cherchent pas, par ce biais, à détourner une disposition impérative de la loi (ATF 118 II 58 c. 2a et les arrêts cités). Partant, sous cette réserve, les parties restent absolument libres de mettre fin d'un commun accord à un contrat de travail de durée déterminée avant son échéance. Cette résiliation conventionnelle n'est soumise à aucune exigence de forme (art. 115 CO), si bien qu'elle peut être décidée par écrit, oralement ou tacitement; pour savoir si un tel accord a été passé, il sied d'interpréter les déclarations des parties en application de l'art. 18 CO (cf. TF 4C.397/2004 précité, ibidem). Mais la pratique considère que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 (cf. TF 4C. 397/2004 susrappelé, ibidem, et TF 4C.49/1999 du 23 avril 1999 c. 2). En l'espèce, le recourant ne tente même pas de démontrer en quoi la manière de voir des premiers juges, selon laquelle les parties n'ont pas librement et d'un commun accord résilié, le 29 juin 2010, le contrat de travail à durée déterminée qui les liait, serait critiquable. Il ne remet pas davantage en cause l'appréciation des preuves à laquelle ceux-ci ont procédé, au terme de laquelle ils ont constaté que le demandeur s'était senti pousser par le défendeur à accepter sans délai de réflexion un accord de résiliation équivalant à un licenciement avec effet immédiat. Il ne suffit pas, comme croit pouvoir le faire le recourant, d'opposer son propre point de vue à celui de l'autorité de première instance pour faire admettre l'existence d'un accord librement consenti entre parties. On doit bien plutôt considérer que l'interprétation des déclarations des parties ne conduit pas à un résultat différent de celui auquel sont parvenus les premiers juges. En particulier, c'est avec raison que ceux-ci ont retenu qu'il n'y avait eu aucune discussion entre parties, que le défendeur n'avait pas même attiré l'attention du demandeur sur les conséquences négatives qu'aurait pour lui un départ immédiat de l'entreprise et qu'en définitive le demandeur n'obtenait de la part du défendeur aucun avantage ni aucune contre-prestation. A cet égard, il sied de rappeler que le contrat qui liait les parties était un contrat de durée déterminée, qui avait été conclu pour une période de 9 mois (cf. jugement, ch. 2, p. 14) et qui était donc censé perdurer jusqu'en décembre 2010. Au demeurant, le défendeur n'a invoqué aucun motif qui aurait justifié de se séparer du demandeur sans préavis. Cela étant, le recours est infondé.</w:t>
      </w:r>
    </w:p>
    <w:p>
      <w:r>
        <w:rPr>
          <w:b/>
        </w:rPr>
        <w:t>E. 5</w:t>
      </w:r>
    </w:p>
    <w:p>
      <w:r>
        <w:t>En définitive, le recours doit être rejeté, en application de l'art. 465 al. 1 CPC-VD, et le jugement entrepris confirmé. S'agissant d'un conflit du travail dont la valeur litigieuse ne dépasse pas 30'000 fr., il n'y a pas lieu de percevoir d'émolument judiciaire (cf. art. 343 al. 3 CO, 10 LJT et 235 TFJC [tarif du 4 décembre 1984 des frais judiciaires en matière civile; RSV 270.11.5]). Par ces motifs, la Chambre des recours du Tribunal cantonal, statuant à huis clos, en application de l'art. 465 al. 1 CPC-VD, prononce : I. Le recours est rejeté. II. Le jugement est confirmé. III. L'arrêt est rendu sans frais. IV. L'arrêt motivé est exécutoire. Le président :               Le greffier : Du</w:t>
      </w:r>
    </w:p>
    <w:p>
      <w:r>
        <w:rPr>
          <w:b/>
        </w:rPr>
        <w:t>E. 9</w:t>
      </w:r>
    </w:p>
    <w:p>
      <w:r>
        <w:t>mars 2011 Le dispositif de l'arrêt qui précède est communiqué par écrit aux intéressés. Le greffier : Du L'arrêt qui précède, dont la rédaction a été approuvée à huis clos, est notifié en expédition complète, par l'envoi de photocopies, à : ‑ Me Cédric Thaler (pour T.________), - Z.________, ‑ Caisse de chômage X.________. La Chambre des recours considère que la valeur litigieuse est de 5'581 francs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