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196 vom 18. April 2011</w:t>
      </w:r>
    </w:p>
    <w:p>
      <w:r>
        <w:t>VD Tribunal cantonal, 2011-04-18, FR</w:t>
      </w:r>
    </w:p>
    <w:p>
      <w:r>
        <w:rPr>
          <w:b/>
        </w:rPr>
        <w:t xml:space="preserve">Quelle: </w:t>
      </w:r>
      <w:r>
        <w:t>https://mcp.opencaselaw.ch/entscheid/vd_findinfo_HC___2011___196</w:t>
      </w:r>
    </w:p>
    <w:p>
      <w:r>
        <w:t>FR: VD_FINDINFO HC / 2011 / 196 du 18 avril 2011</w:t>
      </w:r>
    </w:p>
    <w:p>
      <w:r>
        <w:t>IT: VD_FINDINFO HC / 2011 / 196 del 18 aprile 2011</w:t>
      </w:r>
    </w:p>
    <w:p>
      <w:pPr>
        <w:pStyle w:val="Heading2"/>
      </w:pPr>
      <w:r>
        <w:t>Regeste</w:t>
      </w:r>
    </w:p>
    <w:p>
      <w:r>
        <w:t>PROTECTION DE L'UNION CONJUGALE, OBLIGATION D'ENTRETIEN | 176 al. 1 ch. 1 CC, 273 CC, 308 al. 1 let. b CPC (CH)</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(Tappy, Les voies de droit du nouveau Code de procédure civile, JT 2010 III 121). Les ordonnances de mesures protectrices étant régies par la procédure sommaire, selon l'art. 271 CPC, le délai pour l'introduction de l'appel est de dix jours (art. 314 al. 1 CPC). L'appel relève de la compétence d'un juge unique (art. 84 al. 2 LOJV). Formé en temps utile par une partie qui y a intérêt et portant sur des conclusions, qui, capitalisées selon l'art. 92 al. 2 CPC, sont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Kommentar zur Sweizerischen Zivilprozessordnung, n. 14 et 16 ad art. 317 CPC).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2è éd., no 2410 p. 437). Les parties peuvent toutefois faire valoir que le juge de première instance a violé la maxime inquisitoire en ne prenant pas en considération certains faits (Hohl, op. cit., no 2414 p. 438).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no 2415 p. 438).</w:t>
      </w:r>
    </w:p>
    <w:p>
      <w:r>
        <w:rPr>
          <w:b/>
        </w:rPr>
        <w:t>E. 3</w:t>
      </w:r>
    </w:p>
    <w:p>
      <w:r>
        <w:t>L’appelant conteste pouvoir contribuer à l’entretien des siens, soutenant que son activité d’indépendant, qu’il vient de commencer, ne lui permet pas d’obtenir des revenus comparables à ceux qu’il réalisait en tant que salarié. Selon l’art. 176 al. 1 ch. 1 CC, le montant de la contribution d’entretien se détermine en fonction des facultés économiques et des besoins respectifs des époux. Dans la mesure où des enfants sont concernés, le juge ordonne les mesures nécessaires, d’après les effets de la filiation (art. 176 al. 3 CC), notamment au regard des art. 276 al. 1 et 2 et 285 al. 1 CC (TF 5A_511/2010 du 4 février 2011 c. 2.1 et réf. citées). Le revenu effectif du débiteur est l’un des critères à prendre en considération lorsque l’on veut fixer le montant de la contribution. En l’espèce, comme justificatif de ses revenus, l’appelant a produit en première instance un extrait du compte bancaire de son entreprise, pour la période du 1 er janvier au 30 septembre 2010. Comme le premier juge l’a constaté, ce document est insuffisant pour déterminer les revenus réels que l’appelant tire de son activité d’indépendant. En deuxième instance, par courrier du 10 février 2011, le Juge délégué de la cour de céans a invité l’intéressé à lui faire parvenir toutes pièces propres à établir sa situation financière. Dans le délai imparti, l’appelant n’a fourni en tout et pour tout qu’un nouvel extrait du compte bancaire de l’entreprise, établi jusqu’au 31 décembre 2010. Ce document, certes recevable, puisqu’il fait suite à la demande de production de pièces du juge délégué, ne permet cependant pas plus que le précédent de déterminer les gains que l’appelant réalise dans le cadre de son activité. Il révèle simplement que celui-ci effectue parfois des versements directement au guichet de la banque et qu’il reçoit aussi des versements de tiers, crédités sur le compte. Ses revenus ne transitent donc pas systématiquement par le compte, dont les relevés ont été produits. Or, puisqu’il conteste la décision de première instance, précisément sur la question de la contribution d’entretien, il appartenait à l’appelant de fournir toutes pièces propres à permettre de déterminer sa réelle capacité contributive. Ne l’ayant pas fait, conformément à l’art. 160 al.1 CPC, il échoue à démontrer qu’il n’aurait pas de capacité contributive.</w:t>
      </w:r>
    </w:p>
    <w:p>
      <w:r>
        <w:rPr>
          <w:b/>
        </w:rPr>
        <w:t>E. 4</w:t>
      </w:r>
    </w:p>
    <w:p>
      <w:r>
        <w:t>Cela étant, on doit constater que, même si l’on admettait que le revenu effectif de l’appelant est inférieur à celui que le premier juge a retenu, le raisonnement suivi par ce magistrat pour déterminer le revenu hypothétique litigieux doit être approuvé. Selon la jurisprudence en effet, le juge fixe les contributions d'entretien en se fondant, en principe, sur le revenu effectif du débiteur. Toutefois, il peut s'écarter de celui-ci et retenir un revenu hypothétique supérieur, si une capacité de gain correspondante est réalisable et qu'elle peut être raisonnablement exigée du débiteur (TF 5A_736/2008 du 30 mars 2009 c. 4; ATF 128 III 4 c. 4, JT 2002 I 294 c. 4 et les réf.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du débiteur et la situation du marché du travail (ATF 128 III 4 précité c. 4a; TF 5C.40/2003 du 6 juin 2003 c. 2.1.1 partiellement paru aux ATF 129 III 577; TF 5A_685/2007 du 26 février 2008 c. 2.3; TF 5A_170/2007 du 27 juin 2007 c. 3.1). Savoir si l'on peut raisonnablement exiger du débiteur une augmentation de son revenu est une question de droit; en revanche, savoir quel revenu une personne a la possibilité effective de réaliser est une question de fait (ATF 128 III 4 précité c. 4c/bb; 126 III 10, JT 2000 I 121 c. 2b;TF 5A_345/2010 du 24 juin 2010 c. 3.2.2. et réf.). En l’espèce, l’appelant a exercé la profession de peintre salarié en 2009. Il percevait alors un revenu mensuel net de 5'226 fr. Depuis qu’il exerce en qualité d’indépendant, ses revenus sont vraisemblablement inférieurs à ceux qu’il réalisait auparavant. Toutefois, l’appelant, qui était déjà astreint, en tant que salarié, à contribuer à l’entretien de sa famille, ne pouvait ignorer qu’en faisant le choix de quitter un poste de salarié pour prendre une activité d’indépendant, il ne pourrait peut-être plus faire face à ses obligations familiales dans la même proportion qu’auparavant. Au reste, son choix de s’orienter vers une activité d’indépendant a vraisemblablement été motivé par le fait que, lorsqu’il était salarié, son employeur était tenu, selon prononcé du premier juge du 24 avril 2009, de retirer d’office de son salaire le montant de la contribution d’entretien pour le verser directement sur le compte de l’épouse. En optant pour une activité d’indépendant, l’appelant a donc  voulu éviter une retenue de salaire. Par conséquent, l’on doit considérer que, par ailleurs jeune et en bonne santé, l’appelant est en mesure de réaliser les gains qu’il percevait auparavant et qu’il peut donc contribuer à l’entretien de sa famille dans la proportion fixée par le premier juge. L’appel doit être rejeté en application de l’art. 312 al. 1 CPC et le prononcé confirmé.</w:t>
      </w:r>
    </w:p>
    <w:p>
      <w:r>
        <w:rPr>
          <w:b/>
        </w:rPr>
        <w:t>E. 5</w:t>
      </w:r>
    </w:p>
    <w:p>
      <w:r>
        <w:t>Les frais de justice de deuxième instance à la charge de l’appelant sont arrêtés à 600 fr. (art. 65 al. 2 TFJC). Par ces motifs, le juge délégué de la Cour d’appel civile du Tribunal cantonal, statuant à huis clos, en application de l'art. 312 al. 1 CPC, prononce : I. L’appel est rejeté. II. Le prononcé est confirmé. III. Les frais judiciaires de deuxième instance, arrêtés à 600 fr. (six cents francs), sont mis à la charge de l’appelant F.________. IV. L’arrêt motivé est exécutoire. Le juge délégué : La greffière : Du 18 avril 2011 Le dispositif de l'arrêt qui précède est communiqué par écrit aux intéressés. La greffière : Du L'arrêt qui précède, dont la rédaction a été approuvée à huis clos, est notifié en expédition complète, par l'envoi de photocopies, à : - Me Benoît Morzier (pour F.________), - Me Mélanie Freymond (pour P.________). La Cour d’appel considère que la valeur litigieuse est supérieure à 30'000 francs. Le présent arrêt peut faire l'objet d'un recours en matière civile devant le Tribunal fédéral au sens des art. 72 ss LTF (loi du 17 juin 2005 sur le Tribunal elisabedes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