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192 vom 14. April 2011</w:t>
      </w:r>
    </w:p>
    <w:p>
      <w:r>
        <w:t>VD Tribunal cantonal, 2011-04-14, FR</w:t>
      </w:r>
    </w:p>
    <w:p>
      <w:r>
        <w:rPr>
          <w:b/>
        </w:rPr>
        <w:t xml:space="preserve">Quelle: </w:t>
      </w:r>
      <w:r>
        <w:t>https://mcp.opencaselaw.ch/entscheid/vd_findinfo_HC___2011___192</w:t>
      </w:r>
    </w:p>
    <w:p>
      <w:r>
        <w:t>FR: VD_FINDINFO HC / 2011 / 192 du 14 avril 2011</w:t>
      </w:r>
    </w:p>
    <w:p>
      <w:r>
        <w:t>IT: VD_FINDINFO HC / 2011 / 192 del 14 aprile 2011</w:t>
      </w:r>
    </w:p>
    <w:p>
      <w:pPr>
        <w:pStyle w:val="Heading2"/>
      </w:pPr>
      <w:r>
        <w:t>Regeste</w:t>
      </w:r>
    </w:p>
    <w:p>
      <w:r>
        <w:t>MESURE PROVISIONNELLE, DIVORCE, OBLIGATION D'ENTRETIEN, REVENU HYPOTHÉTIQUE | 125 al. 1 CC, 137 al. 2 CC, 176 CC, 310 CPC (CH), 317 al. 1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judicaire du 12 décembre 1979; RSV 173.01]). Formé en temps utile par une partie qui y a intérêt et portant sur des conclusions, qui, capitalisées selon l'art. 92 al. 2 CPC, sont supérieures à 10'000 fr. (art. 308 CPC),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n. 2410 p. 437). b) En l'espèce, l'appelant a pris le parti de faire valoir les faits nouveaux survenus depuis l'audience de mesures provisionnelles par le biais d'une nouvelle requête de mesures provisionnelles. La présente décision ne prend ainsi pas en considération les changements intervenus dans la situation personnelle de C.O.________ depuis l'audience de mesures provisionnelles du 9 décembre 2010.</w:t>
      </w:r>
    </w:p>
    <w:p>
      <w:r>
        <w:rPr>
          <w:b/>
        </w:rPr>
        <w:t>E. 3</w:t>
      </w:r>
    </w:p>
    <w:p>
      <w:r>
        <w:t>L'appelant invoque une violation de l'art. 125 CC (Code civil suisse du 10 décembre 1907; RS 210). Il soutient que l'intimée aurait une capacité de travail de 100 % et qu'une telle activité aurait dû être exigée par le premier juge, d'autant que sa fille C.O.________ est presque majeure et qu'il se trouve lui-même dans une situation financière précaire. Il fait en outre valoir que l'intimée aurait admis, au regard des éléments de faits retenus dans l'ordonnance de mesures provisionnelles du 1 er septembre 2003, que ses besoins pour un entretien convenable étaient de l'ordre de 4'000 francs. Il estime dès lors qu'aucune contribution n'est due pour l'entretien de son épouse et que seule une contribution de 1'150 fr., représentant le 15 % de ses indemnités de chômage, aurait dû être fixée pour l'entretien de sa fille C.O.________. a) En vertu de l'art. 276 al. 1 CPC, le tribunal ordonne les mesures provisionnelles nécessaires pour la durée de la procédure de divorce; les dispositions régissant la protection de l'union conjugale (art. 172 ss CC) sont applicables par analogie. Le juge fixe le principe et le montant de la contribution d'entretien à verser par l'une des parties à l'autre selon l'art. 176 al.1 ch. 1 CC, applicable par analogie aux mesures provisoires pendant la procédure de divorce (art. 137 al. 2 CC). Cette contribution se détermine en fonction des facultés économiques et des besoins respectifs des époux (ATF 121 I 97 c. 3b, 118 II 376 c. 20b et les références citées). L'absence de perspectives de réconciliation ne justifie pas elle seule la suppression de toute contribution d'entretien. L'art. 125 al. 1 CC, concernant l'entretien après le divorce, concrétise en effet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lorsque le couple a eu des enfants communs (ATF 135 III 59 c. 4.1). Conformément au principe de l'indépendance économique des époux, l'époux demandeur ne peut prétendre à une pension que s'il n'est pas en mesure de pourvoir lui-même à son entretien convenable tel qu'établi conformément aux principes susmentionnés (ATF 134 III 145 c. 4). Selon les circonstances, il pourra ainsi être contraint d'exercer une activité lucrative ou d'augmenter son taux de travail (ATF 130 III 537 c. 3.2; 128 III 65 c. 4a). Le juge doit donc examiner dans quelle mesure l'époux concerné peut exercer une activité lucrative, compte tenu de son âge, de son état de santé et de sa formation.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(ATF 129 III 417 c. 2; 114 II 13 c. 5, TF 5A_ 743/2010 du 10 février 2011 c. 4) Lorsqu'une reprise de la vie commune n'est guère plus envisageable après le dépôt d'une demande en divorce, l'objectif pour le conjoint de reprendre ou d'étendre son activité lucrative et d'assurer ainsi son indépendance financière apparaît déjà important dans le cadre des mesures provisoires de l'art 137 al. 2 CC. Les principes jurisprudentiels sur l'entretien après le divorce peuvent y être pris en compte, par analogie, dans une proportion plus étendue que dans le cadre des mesures protectrices de l'union conjugale (ATF 130 III 537 c. 3.2 p. 542; TF 5P_ 189/2002 du 17 juillet 2002, c. 2, publié in: FamPra.ch 2002 p. 836). Un conjoint peut ainsi se voir imputer un revenu hypothétique supérieur à celui qu'il obtient effectivement de son travail, pour autant qu'une augmentation correspondante de revenu soit effectivement possible et qu'elle puisse être raisonnablement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w:t>
      </w:r>
    </w:p>
    <w:p>
      <w:r>
        <w:rPr>
          <w:b/>
        </w:rPr>
        <w:t>E. 4</w:t>
      </w:r>
    </w:p>
    <w:p>
      <w:r>
        <w:t>Les frais judiciaires de deuxième instance sont arrêtés à 600 fr. (art. 63 al. 1 et 65 TFJC [Tarif des frais judiciaires en matière civile du 28 septembre 2010; RSV 270.11.5]). En application de l'art. 104 al. 3 et 4 CPC, le juge délégué peut choisir de répartir les frais ou déléguer cette répartition à la juridiction précédente. Les frais, qui comprennent les dépens selon l'art. 95 al. 1 er CPC, doivent être mis à la charge de la partie qui succombe (art. 106 al. 1 er CPC). En l'espèce, l'appelant succombe et supportera les frais de justice. L'intimée n'ayant pas procédé, il ne sera pas alloué de dépens.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A.O.________. IV. L'arrêt motivé est exécutoire. Le juge délégué : Le greffier : Du 15 avril 2011 Le dispositif de l'arrêt qui précède est communiqué par écrit aux intéressés. Le greffier : Du L'arrêt qui précède, dont la rédaction a été approuvée à huis clos, est notifié en expédition complète, par l'envoi de photocopies, à : ‑ Me Alexa Landert (pour A.O.________), ‑ Me Manuela Ryter Godel (pour A.________).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