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19 vom 13. Januar 2011</w:t>
      </w:r>
    </w:p>
    <w:p>
      <w:r>
        <w:t>VD Tribunal cantonal, 2011-01-13, FR</w:t>
      </w:r>
    </w:p>
    <w:p>
      <w:r>
        <w:rPr>
          <w:b/>
        </w:rPr>
        <w:t xml:space="preserve">Quelle: </w:t>
      </w:r>
      <w:r>
        <w:t>https://mcp.opencaselaw.ch/entscheid/vd_findinfo_HC___2011___19</w:t>
      </w:r>
    </w:p>
    <w:p>
      <w:r>
        <w:t>FR: VD_FINDINFO HC / 2011 / 19 du 13 janvier 2011</w:t>
      </w:r>
    </w:p>
    <w:p>
      <w:r>
        <w:t>IT: VD_FINDINFO HC / 2011 / 19 del 13 gennaio 2011</w:t>
      </w:r>
    </w:p>
    <w:p>
      <w:pPr>
        <w:pStyle w:val="Heading2"/>
      </w:pPr>
      <w:r>
        <w:t>Regeste</w:t>
      </w:r>
    </w:p>
    <w:p>
      <w:r>
        <w:t>APPRÉCIATION DES PREUVES, INTERDICTION DE L'ARBITRAIRE, OBLIGATION D'ENTRETIEN, MESURE PROVISIONNELLE | 136 al. 2 CC, 176 CC, 111 al. 1 CPC, 111 CPC, 444 al. 1 ch. 3 CPC</w:t>
      </w:r>
    </w:p>
    <w:p>
      <w:pPr>
        <w:pStyle w:val="Heading2"/>
      </w:pPr>
      <w:r>
        <w:t>Erwägungen</w:t>
      </w:r>
    </w:p>
    <w:p>
      <w:r>
        <w:rPr>
          <w:b/>
        </w:rPr>
        <w:t>E. 1</w:t>
      </w:r>
    </w:p>
    <w:p>
      <w:r>
        <w:t>Il faut tout d'abord déterminer le droit applicable à la procédure de recours. Depuis l'entrée en vigueur le 1er janvier 2011 du Code de procédure civile du 19 décembre 2008 (CPC; RS 272), les recours sont régis par le droit en vigueur au moment de la communication de la décision aux parties (art. 405 al. 1 CPC). L'arrêt d'appel attaqué a été expédié le 26 mars 2010 pour notification. Sont donc applicables les dispositions contenues dans le Code de procédure civile du canton de Vaud du 14 décembre 1966 (ci-après : CPC-VD; RSV 270.11) devant la Chambre des recours du canton de Vaud (art. 81a al. 2 du règlement organique du Tribunal cantonal du 13 novembre 2007; RSV 173.31.1).</w:t>
      </w:r>
    </w:p>
    <w:p>
      <w:r>
        <w:rPr>
          <w:b/>
        </w:rPr>
        <w:t>E. 2</w:t>
      </w:r>
    </w:p>
    <w:p>
      <w:r>
        <w:t>a) Le recours cantonal en réforme n'est pas ouvert contre un arrêt d'appel sur mesures provisionnelles, l'appel tenant déjà lieu de recours en réforme. Seul le recours en nullité est ouvert contre un tel arrêt pour tous les motifs prévus par l'art. 444 al. 1 CPC-VD (Poudret/Haldy/Tappy, Procédure civile vaudoise, 3ème éd., 2002, n. 1 ad art. 108 CPC-VD, pp. 211-212 et les références citées; Poudret, note in JT 1987 III 23, pp. 27-28). Le recours a un effet cassatoire et ne peut tendre qu'à l'annulation de l'arrêt attaqué (Poudret/Haldy/Tappy, op. cit., n. 1 ad art. 448 CPC-VD, p. 676). Le recours en nullité est ouvert pour violation de règles essentielles de la procédure (art. 444 al. 1 ch. 3 CPC-VD), notamment pour violation de droits constitutionnels, comme le droit d'être entendu, et pour arbitraire dans l'appréciation des preuves. En revanche, le recours en nullité n'est pas ouvert pour critiquer l'application du droit matériel, même sous l'angle d'une violation de l'interdiction constitutionnelle de l'arbitraire (JT 2007 III 48 c. 3a; TF 4P.293/2006 du 9 février 2007, c. 4.3). b) Une décision est arbitraire lorsqu'elle contredit clairement la situation de fait, lorsqu'elle viole gravement une norme ou un principe juridique clair et indiscuté, ou lorsqu'elle heurte d'une manière choquante le sentiment de la justice et de l'équité. Il ne suffit pas que les motifs de la décision attaquée soient insoutenables, encore faut-il que cette dernière soit arbitraire dans son résultat. Il n'y a en outre pas arbitraire du seul fait qu'une autre solution que celle de l'autorité intimée paraît concevable, voire préférable (ATF 135 V 2 c. 1.3; ATF 134 I 140 c. 5.4 et 263 c. 3.1). Il n'y a arbitraire dans l'appréciation des preuves et l'établissement des faits que si le juge n'a manifestement pas compris le sens et la portée d'un moyen de preuve, s'il a omis, sans raison sérieuse, de tenir compte d'un moyen important propre à modifier la décision attaquée ou encore si, sur la base des éléments recueillis, il a effectué des déductions insoutenables (ATF 129 I 8 c. 2.1; cf. aussi arrêt 4A_9/2009 du 7 avril 2009 c. 2.1, non publié in ATF 135 III 410). c) La Chambre des recours n'examine que les moyens de nullité développés séparément (Poudret/Haldy/Tappy, op. cit., n. 2 ad art. 465 CPC-VD, p. 722).</w:t>
      </w:r>
    </w:p>
    <w:p>
      <w:r>
        <w:rPr>
          <w:b/>
        </w:rPr>
        <w:t>E. 3</w:t>
      </w:r>
    </w:p>
    <w:p>
      <w:r>
        <w:t>Le recourant soutient que les premiers juges ont apprécié arbitrairement la pièce 43 de l’intimée intitulée « Inventaire des charges financières de la requérante, mis à jour au 3 novembre 2009 ». Ils auraient omis de comparer cette pièce à la pièce 5, intitulée « Charges mensuelles », que l’intimée avait produite en 2005. Une telle comparaison leur aurait montré que l’intimée avait augmenté le montant de certains postes, modifiant ainsi l’importance de son train de vie à prendre en considération pour la fixation d’une contribution d’entretien. Même si les pièces en cause ne constituent pas des preuves relatives au montant de certaines charges assumées par l’intimée et ne comprennent que des allégations de celle-ci, il serait arbitraire de retenir comme faisant partie du train de vie des époux pendant la vie commune des montants plus élevés que ceux qu'alléguait l'épouse créancière elle-même peu après la séparation. Il faut dès lors comparer les chiffres résultant de la pièce 5, de la pièce 43 et ceux finalement retenus par les juges d'appel. S'agissant du poste "vacances et loisirs", la pièce 5 fait valoir un montant annuel de 5'000 fr. pour 5 personnes, alors que la pièce 43 indique le même montant pour 3 personnes. Alors que les premiers juges avaient retenu de ce chef, en l'absence de pièces, un montant de 200 fr. par mois (ordonnance p. 12), les juges d'appel, se fondant sur "le train de vie élevé des parties durant la vie commune", ont admis un montant de 500 fr. par mois (arrêt sur appel p. 6). Ainsi, on comptait 1'000 francs par personne pour ce poste au moment de la vie commune. Même en tenant compte de l'âge plus élevé des enfants, qui entraîne des dépenses plus élevées, il est arbitraire de retenir un montant supérieur à 3'600 fr. par an pour 3 personnes, soit 300 fr. par mois. S'agissant des frais de nourriture, habillement et coiffeur, la pièce 5 indiquait pour 4 personnes un montant de 16'800 fr. pour la nourriture, 4'800 fr. pour des frais ménagers divers, 12'000 fr. d'habillement, soit 33'600 fr., équivalent à 2'800 francs par mois pour 4 personnes. La pièce 43 indique pour les enfants des frais d'argent de poche, habillement et coiffeur de 12'200 fr. et de 24'000 fr. pour les frais de nourriture et achats ménage. L'ordonnance a admis 1'000 fr. par mois pour les deux enfants et 1'500 fr. pour l'épouse. L'arrêt sur appel a admis 1'000 fr. par mois pour les deux enfants et 2'500 fr. pour l'épouse, soit 3'500 fr. par mois pour 3 personnes. Même si les frais de nourriture ne sont pas réductibles en proportion du nombre des bénéficiaires et que les frais d'habillement sont plus élevés pour des enfants plus grands, il est arbitraire de retenir au regard de la pièce 5 qu'un montant de 3'500 fr. est nécessaire pour maintenir le train de vie pendant la vie commune s'agissant de ces frais, étant relevé que le montant de 2'500 fr. retenu par l'ordonnance paraît adéquat. Les différences susmentionnées sont susceptibles d'influer sur le montant des contributions d'entretien. Il se justifie dès lors d’admettre le recours en nullité et de renvoyer la cause au Tribunal d'arrondissement saisi de la cause (art. 166 Code du 12 janvier 2010 de droit privé judiciaire vaudois; RSV 211.01) pour nouvelle instruction et nouvelle décision dans le sens des considérants.</w:t>
      </w:r>
    </w:p>
    <w:p>
      <w:r>
        <w:rPr>
          <w:b/>
        </w:rPr>
        <w:t>E. 4</w:t>
      </w:r>
    </w:p>
    <w:p>
      <w:r>
        <w:t>En définitive, le recours doit être admis et l'arrêt sur appel annulé, la cause étant renvoyée au Tribunal civil de l'arrondissement de La Côte pour nouvelle instruction et nouvelle décision. Les frais du recourant sont arrêtés à 5'000 fr. (art. 233 TFJC [tarif des frais judiciaires en matière civile du 4 décembre 1984; RSV 270.11.5]). L'intimée doit verser au recourant la somme de 6'500 fr. à titre de dépens pour la procédure devant la Chambre des recours. Par ces motifs, la Chambre des recours du Tribunal cantonal, statuant à huis clos, prononce : I. Le recours est admis. II. L'arrêt sur appel est annulé, la cause étant renvoyée au Tribunal civil de l'arrondissement de La Côte pour nouvelle instruction et nouvelle décision. III. Les frais du recourant sont arrêtés à 5'000 fr. (cinq mille francs). IV. L'intimée F.________ doit verser au recourant A.M.________ la somme de 6'500 fr. (six mille cinq cents francs) à titre de dépens pour la procédure devant la Chambre des recours. V. L'arrêt motivé est exécutoire. Le président :               Le greffier : Du 13 janvier 2011 Le dispositif de l'arrêt qui précède est communiqué par écrit aux intéressés. Le greffier : Du L'arrêt qui précède, dont la rédaction a été approuvée à huis clos, est notifié en expédition complète, par l'envoi de photocopies, à : ‑ Me Laurent Maire (pour A.M.________), ‑ Me Mireille Loroch (pour F.________).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 Tribunal fédéral.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