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183 vom 19. Januar 2011</w:t>
      </w:r>
    </w:p>
    <w:p>
      <w:r>
        <w:t>VD Tribunal cantonal, 2011-01-19, FR</w:t>
      </w:r>
    </w:p>
    <w:p>
      <w:r>
        <w:rPr>
          <w:b/>
        </w:rPr>
        <w:t xml:space="preserve">Quelle: </w:t>
      </w:r>
      <w:r>
        <w:t>https://mcp.opencaselaw.ch/entscheid/vd_findinfo_HC___2011___183</w:t>
      </w:r>
    </w:p>
    <w:p>
      <w:r>
        <w:t>FR: VD_FINDINFO HC / 2011 / 183 du 19 janvier 2011</w:t>
      </w:r>
    </w:p>
    <w:p>
      <w:r>
        <w:t>IT: VD_FINDINFO HC / 2011 / 183 del 19 gennaio 2011</w:t>
      </w:r>
    </w:p>
    <w:p>
      <w:pPr>
        <w:pStyle w:val="Heading2"/>
      </w:pPr>
      <w:r>
        <w:t>Regeste</w:t>
      </w:r>
    </w:p>
    <w:p>
      <w:r>
        <w:t>CONTRAT DE TRAVAIL, DROIT AU SALAIRE, DÉBUT, RAPPORTS DE SERVICE | 343 CO, 452 CPC, 46 LJT</w:t>
      </w:r>
    </w:p>
    <w:p>
      <w:pPr>
        <w:pStyle w:val="Heading2"/>
      </w:pPr>
      <w:r>
        <w:t>Erwägungen</w:t>
      </w:r>
    </w:p>
    <w:p>
      <w:r>
        <w:rPr>
          <w:b/>
        </w:rPr>
        <w:t>E. 1</w:t>
      </w:r>
    </w:p>
    <w:p>
      <w:r>
        <w:t>Le Code de procédure civile suisse du 19 décembre 2008 (CPC; RS 272) est entré en vigueur le 1 er janvier 2011. Toutefois, l'arrêt attaqué a été communiqué aux parties avant cette date, de sorte que ce sont les règles du Code de procédure civile vaudois du 14 décembre 1966 (CPC-VD) qui sont applicables (art. 405 al. 1 CPC).</w:t>
      </w:r>
    </w:p>
    <w:p>
      <w:r>
        <w:rPr>
          <w:b/>
        </w:rPr>
        <w:t>E. 2</w:t>
      </w:r>
    </w:p>
    <w:p>
      <w:r>
        <w:t>Le litige qui divise les parties relève du contrat de travail. Il est régi par l'art. 343 CO (Code des obligations du 30 mars 1911; RS 220) et la loi du 17 mai 1999 sur la juridiction du travail (LJT) en vigueur jusqu'au 31 décembre 2010. Il relève de la compétence du tribunal de prud'hommes, la valeur litigieuse n'excédant pas 30'000 fr. (art. 2 al. 1 let. a LJT). L'art. 46 LJT ouvre la voie du recours en nullité et en réforme contre les jugements rendus par un tribunal de prud'hommes, selon les art. 444, 445 et 451 CPC-VD. Interjeté en temps utile, le recours, qui tend uniquement à la réforme du jugement attaqué, est recevable.</w:t>
      </w:r>
    </w:p>
    <w:p>
      <w:r>
        <w:rPr>
          <w:b/>
        </w:rPr>
        <w:t>E. 3</w:t>
      </w:r>
    </w:p>
    <w:p>
      <w:r>
        <w:t>a) Saisie d'un recours en réforme contre un jugement principal rendu par un tribunal de prud'hommes, la Chambre des recours revoit librement la cause en fait et en droit (art. 452 al. 2 CPC-VD, applicable par renvoi de l'art. 46 al. 2 LJT). Les parties ne peuvent toutefois articuler des faits nouveaux, sous réserve de ceux résultant du dossier et qui auraient dû être retenus ou de ceux pouvant résulter d'une instruction complémentaire selon l'art. 456a CPC-VD (art. 452 al. 1ter CPC-VD). Ainsi, le Tribunal cantonal revoit la cause en fait et en droit sur la base du dossier, sans réadministration des preuves déjà administrées en première instance (JT 2003 III 3 c. 3a). Il développe donc son raisonnement juridique après avoir vérifié la conformité de l'état de fait du jugement aux preuves figurant au dossier et l'avoir, le cas échéant, corrigé ou complété au moyen de celles-ci (ibidem). b) La recourante nie que l'intimé ait débuté son activité au sein de la société le 17 mars 2009. S'en prenant à l'appréciation des preuves, elle soutient que celle-ci ne permet pas de retenir cette date. Sur la base des éléments recueillis, soit les témoignages des collègues de travail de l'intimé et des attestations des entreprises qui ont travaillé en même temps que la recourante sur plusieurs chantiers durant la période litigieuse, les premiers juges ont retenu qu’il ne faisait aucun doute que Y.________ avait bien travaillé dès la mi-mars 2009 pour la société S.________ Sàrl. Ils ont dès lors admis que l’employé, comme celui-ci le soutenait, avait bien été au service de l'entreprise dès le 17 mars 2009. Les éléments pris en compte par les premiers juges sont convaincants et leur raisonnement ne prête pas le flanc à la critique. Le fait que les témoins n’aient pas précisément mentionné la date du 17 mars 2009 ou que l’un d’entre eux ait indiqué « penser » ne permet aucunement d’infirmer l’appréciation de l’autorité de première instance. Les allégations de la recourante selon lesquelles elle n’aurait engagé l’intimé qu’à partir du 15 mai 2009 sont incompatibles avec les témoignages retenus et autres attestations, lesquelles n’auraient d’ailleurs que difficilement pu être produites si l'intéressé n’avait commencé son activité que le 15 mai 2009 et sachant que celui-ci a été en arrêt de travail à 100 % peu de jours après, soit du 27 mai au 5 octobre 2009. Enfin, le fait que l’intimé ne se soit pas présenté lors des rencontres organisées dans les bureaux d’E.________ et ait requis 3'000 fr. pour solde de tout compte, constituent des faits nouveaux qui ne résultent pas du dossier et qu’il n’y a pas lieu d’établir par une instruction complémentaire dès lors qu'ils ne suffisent pas pour remettre en cause l’appréciation précitée. En conclusion, le grief doit être rejeté.</w:t>
      </w:r>
    </w:p>
    <w:p>
      <w:r>
        <w:rPr>
          <w:b/>
        </w:rPr>
        <w:t>E. 4</w:t>
      </w:r>
    </w:p>
    <w:p>
      <w:r>
        <w:t>Pour le surplus, la recourante ne remet pas en cause les calculs effectués par les premiers juges et les montants finalement octroyés à l’intimé. Ceux-ci ont par ailleurs été correctement arrêtés et peuvent par conséquent être confirmés.</w:t>
      </w:r>
    </w:p>
    <w:p>
      <w:r>
        <w:rPr>
          <w:b/>
        </w:rPr>
        <w:t>E. 5</w:t>
      </w:r>
    </w:p>
    <w:p>
      <w:r>
        <w:t>Sur le vu de ce qui précède, le recours doit être rejeté en application de l'art. 465 al. 1 CPC-VD et le jugement attaqué confirmé. S’agissant d’un conflit du travail dont la valeur litigieuse ne dépasse pas 30'000 fr., le présent arrêt est rendu sans frais (art. 343 al. 3 CO, 10 LJT et 235 TFJC [tarif du 4 décembre 1984 des frais judiciaires en matière civile]). Par ces motifs, la Chambre des recours du Tribunal cantonal, statuant à huis clos, en application de l'art. 465 al. 1 CPC-VD, prononce : I. Le recours est rejeté. II. Le jugement est confirmé. III. L'arrêt est rendu sans frais. IV. L'arrêt motivé est exécutoire. Le président :               La greffière : Du 19 janvier 2011 Le dispositif de l'arrêt qui précède est communiqué par écrit aux intéressés. La greffière : Du 16 mai 2011 L'arrêt qui précède, dont la rédaction a été approuvée à huis clos, est notifié en expédition complète, par l'envoi de photocopies, à : ‑ S.________ Sàrl ‑ M. Y.________ La Chambre des recours considère que la valeur litigieuse est de 9'834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