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180 vom 11. April 2011</w:t>
      </w:r>
    </w:p>
    <w:p>
      <w:r>
        <w:t>VD Tribunal cantonal, 2011-04-11, FR</w:t>
      </w:r>
    </w:p>
    <w:p>
      <w:r>
        <w:rPr>
          <w:b/>
        </w:rPr>
        <w:t xml:space="preserve">Quelle: </w:t>
      </w:r>
      <w:r>
        <w:t>https://mcp.opencaselaw.ch/entscheid/vd_findinfo_HC___2011___180</w:t>
      </w:r>
    </w:p>
    <w:p>
      <w:r>
        <w:t>FR: VD_FINDINFO HC / 2011 / 180 du 11 avril 2011</w:t>
      </w:r>
    </w:p>
    <w:p>
      <w:r>
        <w:t>IT: VD_FINDINFO HC / 2011 / 180 del 11 aprile 2011</w:t>
      </w:r>
    </w:p>
    <w:p>
      <w:pPr>
        <w:pStyle w:val="Heading2"/>
      </w:pPr>
      <w:r>
        <w:t>Regeste</w:t>
      </w:r>
    </w:p>
    <w:p>
      <w:r>
        <w:t>CONTRAT DE TRAVAIL, RÉSILIATION IMMÉDIATE, JUSTE MOTIF, HEURES DE TRAVAIL NON EFFECTUÉES | 324 CO, 337 CO, 444 CPC, 445 CPC, 451 CPC, 452 al. 1ter CPC, 452 al. 2 CPC, 466 al. 1 CPC, 46 al. 1 LJT, 46 al. 2 LJT, 405 al. 1 CPC (CH)</w:t>
      </w:r>
    </w:p>
    <w:p>
      <w:pPr>
        <w:pStyle w:val="Heading2"/>
      </w:pPr>
      <w:r>
        <w:t>Erwägungen</w:t>
      </w:r>
    </w:p>
    <w:p>
      <w:r>
        <w:rPr>
          <w:b/>
        </w:rPr>
        <w:t>E. 1</w:t>
      </w:r>
    </w:p>
    <w:p>
      <w:r>
        <w:t>a) Le CPC (Code de procédure civile suisse du 19 décembre 2008; RS 272) est entré en vigueur le 1 er janvier 2011. Toutefois, le jugement entrepris a été communiqué aux parties avant cette date, de sorte que ce sont les dispositions contenues dans la LJT (loi sur la juridiction du travail du 17 mai 1999, dans sa version en vigueur jusqu'au 31 décembre 2010) et dans le CPC-VD (Code de procédure civile du canton de Vaud du 14 décembre 1966, en vigueur jusqu'au 31 décembre 2010) qui sont applicables au recours (art. 405 al. 1 CPC). b) Résultant du contrat de travail, le litige qui divise les parties est régi par l'art. 343 CO et la LJT dans sa version précitée. Il relève de la compétence du tribunal de prud'hommes, la valeur litigieuse n'excédant pas 30'000 fr. (art. 2 aI. 1 let. a aLJT). L'art. 46 al. 1 aLJT ouvre la voie des recours en nullité et en réforme au Tribunal cantonal contre les jugements rendus par un tribunal de prud'hommes, selon les art. 444, 445 et 451 CPC-VD. Sous réserve des art. 47 à 52 aLJT, les règles ordinaires de la procédure civile contentieuse en matière de recours contre les jugements des tribunaux d'arrondissement et des présidents rendus en procédure accélérée ou sommaire sont applicables (art. 46 al. 2 aLJT). En l'espèce, le recours principal du demandeur, immédiatement motivé, tend principalement à la nullité et subsidiairement à la réforme, et ses conclusions ne sont pas nouvelles. Déposé en temps utile, il est recevable. Il en va de même du recours de la défenderesse, exclusivement en réforme, recevable à titre de recours joint, aussi ouvert en matière prud'homale (art. 466 al. 1 CPC-VD applicable par renvoi de l'art. 46 al. 2 aLJT; Ducret/Osojnak, Procédures spéciales vaudoises, Lausanne 2008, ch. 2 ad art. 46 aLJT, p. 314; Poudret/Haldy/Tappy, Procédure civile vaudoise, 3 ème éd., Lausanne 2002, n. 2 ad art. 466 CPC-VD, p. 724).</w:t>
      </w:r>
    </w:p>
    <w:p>
      <w:r>
        <w:rPr>
          <w:b/>
        </w:rPr>
        <w:t>E. 2</w:t>
      </w:r>
    </w:p>
    <w:p>
      <w:r>
        <w:t>En règle générale, la Chambre des recours délibère en premier lieu sur les moyens de nullité (art. 470 al. 1 CPC-VD). A cet égard, le recourant principal fait valoir que les premiers juges n'auraient pas statué sur l'une de ses prétentions relativement au paiement de six jours de congé non pris. Or, un éventuel vice sur ce point est susceptible d'être corrigé dans le cadre du recours en réforme, vu le large pouvoir d'examen en fait conféré à la Chambre des recours par les art. 452 et 456a CPC-VD pour ce recours, de sorte que ce grief est irrecevable en nullité, voie de droit subsidiaire (Poudret/ Haldy/Tappy, op. cit., n. 14 ad art. 444 CPC-VD).</w:t>
      </w:r>
    </w:p>
    <w:p>
      <w:r>
        <w:rPr>
          <w:b/>
        </w:rPr>
        <w:t>E. 3</w:t>
      </w:r>
    </w:p>
    <w:p>
      <w:r>
        <w:t>Saisie d'un recours en réforme contre un jugement principal rendu par un tribunal de prud'hommes, la Chambre des recours revoit librement la cause en fait et en droit (art. 452 al. 2 CPC-VD, applicable par renvoi de l'art. 46 al. 2 aLJT).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Il n'y a pas lieu de le compléter, de sorte que la cour de céans est à même de statuer en réforme. Il convient d'examiner d'abord le recours principal, dans lequel le demandeur conteste la validité du licenciement avec effet immédiat, puis le recours joint formé par la défenderesse, qui porte sur la question du solde de jours négatifs de l'employé, s'agissant d'un éventuel accord de renonciation audit solde, d'une part, et d'une éventuelle compensation avec des jours de congé non pris invoquée par le demandeur, d'autre part.</w:t>
      </w:r>
    </w:p>
    <w:p>
      <w:r>
        <w:rPr>
          <w:b/>
        </w:rPr>
        <w:t>E. 4</w:t>
      </w:r>
    </w:p>
    <w:p>
      <w:r>
        <w:t>Le recourant principal Z.________ fait valoir que le congé immédiat ne lui a pas été donné en raison de l'usure des pneus de son véhicule de livraison, mais en raison de ses retards et absences, motifs parfaitement connus lors du licenciement ordinaire intervenu par lettre du 29 septembre 2009. Il soutient également qu'il résulte de la lettre de licenciement du 8 octobre 2009 que les problèmes de sécurité routière invoqués par l'employeur sont les mêmes que ceux figurant dans la lettre de congé de septembre (recte : novembre) 2008. Enfin, l'employeur n'ignorait rien de l'état d'entretien du véhicule utilisé par le recourant, de sorte que l'état d'usure des pneus ne pouvait lui échapper. La présente cause pose la question de savoir s'il est possible pour l'employeur de licencier son employé pendant le délai de congé consécutif à une résiliation ordinaire. La réponse est négative si les motifs de résiliation existaient déjà lors de la résiliation ordinaire (ATF 123 III 86). En optant pour la résiliation ordinaire, l'employeur renonce définitivement au droit de résiliation immédiate, du moins en tant qu'il se fonde sur la même circonstance que celle ayant entraîné la résiliation ordinaire (ATF précité c. 2b et les citations de la doctrine suisse allemande; pour la doctrine en français, cf. Subilia/Duc, Droit du travail, Lausanne 2010, n. 37 ad art. 337 CO, p. 628). Au contraire, rien ne s'oppose à un renvoi immédiat avant la fin des rapports de travail en cas de justes motifs survenus après la notification du congé ordinaire. Tel est le cas en l'espèce. Contrairement à ce que soutient le recourant, l'employeur n'a pas seulement donné le congé immédiat en raison d'une simple usure excessive des pneus, mais bien parce qu'il a fait le constat que le comportement de son employé compromettait la sécurité routière, au point que le véhicule de livraison utilisé par le recourant a dû lui être retiré. Même si la lettre de licenciement est effectivement inopérante s'agissant des reproches au sujet des absences et des retards, elle précise expressément la grave atteinte portée à la sécurité routière, au point que l'employeur ne pouvait plus laisser le recourant conduire son camion-citerne. La mesure prise immédiatement d'interrompre l'activité professionnelle atteste de la gravité du motif. On peut à cet égard se référer au jugement attaqué qui détaille les risques d'un accident par éclatement des pneus. A cela s'ajoute qu'un contrôle du tachygraphe a montré des violations répétées de la réglementation prévue par l'OTR 1 (Ordonnance du 19 juin 1995 sur la durée du travail et du repos des conducteurs professionnels de véhicules automobiles; RS 822.221) en matière de temps de conduite et de pause (cf. jugement, p. 23). A l'occasion des contrôles effectués les 1 er et 5 octobre 2009, l'employeur a pris conscience que le recourant n'était pas seulement négligent dans l'entretien du véhicule, mais qu'il l'était au point de cumuler des fautes graves de nature à compromettre la sécurité routière. Il s'agit là d'un juste motif (violation des règles de sécurité par des chauffeurs, voir la jurisprudence citée par Favre/Munoz/ Tobler, Le contrat de travail, Code annoté, Lausanne 2010, n. 1.68 ad art. 337 CO), d'autant que le recourant avait été averti antérieurement. Le recourant invoque encore la tardiveté du congé. Avec les premiers juges, il faut admettre que l'employeur a agi sans tarder pour donner le congé immédiat. Le temps d'en référer à la direction de l'entreprise doit effectivement être pris en considération, pour l'exercice du droit de résilier (SJ 1995 p. 806). Cela est d'autant plus vrai que, le 5 octobre 2009, le contrôle des disques tachygraphiques a encore révélé des manquements. La résiliation intervenue le 8 octobre 2009 respecte donc le délai de 2 à 3 jours ouvrables considéré comme valable par la jurisprudence (ATF 130 III 28 c. 4), cela d'autant que l'employé était absent la veille. Par conséquent, le licenciement immédiat était justifié et conforme aux conditions légales, de sorte qu'il échappe aux critiques.</w:t>
      </w:r>
    </w:p>
    <w:p>
      <w:r>
        <w:rPr>
          <w:b/>
        </w:rPr>
        <w:t>E. 5</w:t>
      </w:r>
    </w:p>
    <w:p>
      <w:r>
        <w:t>a) La recourante par voie de jonction V.________ SA réclame, comme en première instance, le paiement des heures négatives accumulées par le recourant principal, pour une somme totale de 20'400 fr., avec intérêts à 5% l'an dès le 1 er décembre 2009. Les premiers juges ont considéré ces heures négatives comme compensées - en partie ou non - avec d'éventuels jours de vacances que l'employé n'aurait pas pris. Cela étant, ils n'ont pas tranché la question de savoir si les heures négatives accumulées avaient fait l'objet d'une renonciation de l'employeur au moment où le premier licenciement avait été annulé. Le demandeur soutenait que tel était le cas, même s'il avait signé un décompte faisant état d'un manco de 77 jours (cf. pièce 11 de la défenderesse; jugement, p. 18). La défenderesse a contesté avoir soldé les heures négatives, concédant toutefois avoir octroyé après l'annulation du congé une petite augmentation de salaire (cf. jugement, p. 19). b) La motivation du chiffre X du jugement entrepris n'est pas convaincante, puisqu'elle se borne à retenir que le demandeur était expéditif, ce qui expliquerait, au vu de l'organisation du travail de la défenderesse, un déficit d'heures de travail, qui ne pourrait pas pour autant être imputé à l'intéressé. En réalité, l'art. 324 CO n'est d'aucun secours à l'employé, car il n'y a aucune carence dans l'organisation du travail imputable à l'employeur. Le contrat prévoit un certain nombre d'heures de travail à effectuer : soit elles ont été effectuées, soit elles ne l'ont pas été, peu important dans quelles conditions. En l'occurrence, le demandeur travaillait de manière tellement expéditive et négligente que le licenciement immédiat est apparu justifié. Il faut dès lors admettre que les heures dues n'ont pas été effectuées. Il reste à en déterminer la quotité. c) Les parties ont admis un solde négatif de 65 jours au moment de la reprise du contrat liant le demandeur à la société F.________ SA par la défenderesse (cf. jugement, p. 15). Le demandeur a par ailleurs reconnu par sa signature, selon décompte du 28 juin 2009, intitulé "Etat des vacances et heures supplémentaires du 05.01.09 au 28.06.09", l'existence d'un solde négatif de 71 jours (cf. pièce 11 de la défenderesse). Postérieur à l'annulation de la résiliation des rapports de travail notifiée au demandeur le 17 novembre 2008, ce décompte réduit à néant la thèse du demandeur selon laquelle le solde de jours négatifs aurait été annulé à cette occasion (cf. jugement, p. 18). Un autre décompte, aussi intitulé "Etat des vacances et heures supplémentaires", a été ultérieurement établi par l'employeur le 7 octobre 2009, faisant état d'un solde de 83 jours négatifs (cf. pièce 11 de la défenderesse); non signé par le travailleur, il ne saurait cependant être considéré comme probant. Cela étant, il appartenait au travailleur d'établir qu'il avait soldé les 71 jours négatifs précités jusqu'à la fin des relations de travail, ce qu'il ne prétend même pas dans ses déterminations sur le recours joint. Dès lors qu'un manco est établi, c'est en effet au débiteur de prouver l'extinction de son obligation (Schmid, Basler Kommentar, 3 ème éd., n. 58 ad art. 8 CC; Piotet, Commentaire Romand, Code civil I, n. 31 ad art. 8 CC). d) Dans sa requête au Tribunal de prud'hommes du 16 octobre 2009, le travailleur fait état de "6 jours de congé non pris", sans autres indications. Les premiers juges ne se sont pas prononcés sur leur existence, se contentant de relever que d'éventuels jours non pris étaient compensés par "les heures négatives accumulées" (cf. jugement, p. 37). Cela étant, contrairement à ce que prétend le recourant principal (cf. c. 2 supra), les premiers juges ont donc bien statué sur sa prétention relative à des jours de congé non pris. Il appartient au travailleur de prouver le contenu de l'obligation contractuelle de l'employeur concernant le droit aux vacances, comme sa naissance en fonction de la durée du contrat. C'est à l'employeur de prouver le nombre de jours de vacances pris par le travailleur dans la période considérée (ATF 128 III 271, JT 2003 I 606). En l'espèce, le demandeur a fait valoir six jours de congé non pris, sans en préciser la nature, tout en relevant dans son mémoire de recours qu'il ne s'agissait pas de jours de vacances. Il appartenait au travailleur d'établir qu'il devait bénéficier de jours de congé et en établir la nature et la quotité, ce qu'il n'a pas fait. Il ne prouve pas l'existence de jours de congé non pris dont il n'aurait pas été tenu compte dans le décompte du 28 juin 2009, ni n'établit qu'entre le 28 juin 2009 et le 8 octobre 2009, date du licenciement immédiat, il n'aurait pas pu prendre "6 jours de congé". Il doit par conséquent supporter l'échec du fardeau de la preuve sur ce point. On doit en définitive s'en tenir à un manco de 71 jours de travail. e) Le recourant principal soutient dans ses déterminations sur le recours joint que, conformément au contrat de travail conclu, prévoyant le rattrapage des heures négatives par des heures supplémentaires, l'employeur ne peut prétendre aujourd'hui au paiement du solde négatif. Il est vrai que l'essentiel du solde d'heures négatives trouve son origine dans le précédent contrat de travail conclu avec la société F.________ SA (cf. jugement, p. 15). Le solde négatif reporté était ainsi de 65 jours de travail. Au moment du transfert des relations de travail, parties sont convenues que ce retard devait être rattrapé par des heures supplémentaires régulières (cf. jugement, ad ch. 5 p. 15). La volonté réelle des parties n'étant pas établie, il convient d'interpréter cette convention selon le principe de la confiance. Par cette méthode d'interprétation, le juge recherchera le sens que les parties pouvaient et devaient donner, selon les règles de la bonne foi, à leurs manifestations de volonté réciproques en fonction de l'ensemble des circonstances. Le principe de la confiance permet d'imputer à une partie le sens objectif de sa déclaration ou de son comportement, même s'il ne correspond pas à sa volonté intime. Ainsi, même si la teneur d'une clause contractuelle paraît claire à première vue, il peut résulter d'autres conditions du contrat, du but poursuivi par les parties ou d'autres circonstances que son texte ne restitue pas le sens de l'accord conclu; il n'y a cependant pas lieu de s'écarter du sens littéral lorsqu'il n'y a pas de raisons sérieuses de penser qu'il ne correspond pas à la volonté des cocontractants (ATF 129 III 118 c. 2.5; TF 5C.208/2006 du 8 janvier 2007 c. 2.1). En l'occurrence, la clause litigieuse doit être comprise comme signifiant que ce solde négatif de 65 jours de travail devait être compensé en nature par des heures supplémentaires. Il résulte des déclarations du témoin T.________, "dispatcher" de l'employeur, qu'il n'avait pas reçu d'instructions particulières pour donner davantage de travail au demandeur afin qu'il rattrape ses heures négatives, quand bien même il était conscient du fait qu'il y avait des heures à compenser et qu'il pouvait donc lui donner du travail supplémentaire s'il y en avait. Dès lors que l'employeur n'a pas fourni de travail permettant de compenser ce solde de 65 jours par des heures supplémentaires sur une période de plus d'un an et demi, il serait abusif de le mettre à la charge du travailleur, peu important que le licenciement ait été donné avec effet immédiat. Il subsiste ainsi un manco de 6 jours de travail (71-65). f) Pour les six jours restants, le raisonnement qui précède ne peut être tenu, faute de clause particulière : le travailleur aurait pu accomplir ces heures dans son temps de travail ordinaire, le manco étant dû au fait que l'intéressé accomplissait ses tâches en un temps restreint au prix d'un travail bâclé et de violations continuelles des prescriptions réglementaires relatives au temps de conduite et de pause (cf. jugement, p. 38). A la résiliation des rapports de travail, pour savoir si l'employeur est fondé à réclamer au travailleur le paiement de vacances prises en trop, il convient de rechercher à qui la résiliation est imputable, sans s'arrêter au critère de celui qui a formellement résilié le contrat. Lorsque la résiliation est imputable au travailleur - soit qu'il ait donné un juste motif de congé soit que le congé ordinaire soit motivé par des manquements de l'employé (Cerottini, Le droit aux vacances, thèse Lausanne 2001, pp. 324-325) -, il doit restituer l'excédent de vacances. Ce n'est que si la résiliation est imputable à l'employeur que ce dernier abandonne toute prétention à la restitution de l'excédent qui ne peut être pris durant le délai de résiliation (Wyler, Droit du travail, 2 ème éd., Berne 2008, pp. 362-363). En l'espèce, on peut appliquer par analogie les principes en matière d'excédent de vacances susmentionnés au solde d'heures négatives. Ainsi, la résiliation des rapports de travail intervenue le 29 septembre 2009 étant imputable au comportement du demandeur (cf. jugement, ad ch. 20 p. 21 : nombreux incidents rencontrés au niveau de l'exécution du travail, non respect récurrent et important des horaires de travail, absences répétées, entretien défaillant du véhicule confié et mécontentement de certains clients), celui-ci est tenu à la restitution du manco de six jours de travail. Le congé immédiat donné ultérieurement au travailleur, fondé sur de justes motifs, ne modifie pas cette solution. La défenderesse a dès lors droit au paiement des heures négatives accumulées à concurrence du montant de 1'458 fr., correspondant au manco de six jours de travail ([4'860 fr. / 20] x 6). L'intérêt à 5% est dû sur ce montant dès le 3 décembre 2009, lendemain du jour de l'audience de conciliation du 2 décembre 2009 où les conclusions reconventionnelles de la défenderesse relatives à cet objet ont été notifiées au demandeur (cf. procès-verbal de la séance du 2 décembre 2009).</w:t>
      </w:r>
    </w:p>
    <w:p>
      <w:r>
        <w:rPr>
          <w:b/>
        </w:rPr>
        <w:t>E. 6</w:t>
      </w:r>
    </w:p>
    <w:p>
      <w:r>
        <w:t>En conclusion, le recours principal doit être rejeté et le recours joint partiellement admis, le jugement étant réformé dans le sens des considérants qui précèdent. S'agissant d'un conflit du travail dont la valeur litigieuse ne dépasse pas 30'000 fr., il n'y a pas lieu de percevoir d'émolument judiciaire (cf. art. 343 CO, 10 aLJT et 235 aTFJC [tarif du 4 décembre 1984 des frais judiciaires en matière civile, en vigueur jusqu'au 31 décembre 2010]). Au vu de l'issue de la procédure, il y a lieu de compenser les dépens de deuxième instance. Par ces motifs, la Chambre des recours du Tribunal cantonal, statuant à huis clos, prononce : I. Le recours principal est rejeté. II. Le recours joint est admis partiellement. III. Le jugement est réformé au chiffre II de son dispositif comme il suit : II. Z.________ doit payer à V.________ SA la somme de 1'458 francs (mille quatre cent cinquante-huit francs), plus intérêt à 5% l'an dès le 3 décembre 2009. Le jugement est confirmé pour le surplus. IV. L'arrêt est rendu sans frais. V. Les dépens de deuxième instance sont compensés. VI. L'arrêt motivé est exécutoire. Le président :               Le greffier : Du</w:t>
      </w:r>
    </w:p>
    <w:p>
      <w:r>
        <w:rPr>
          <w:b/>
        </w:rPr>
        <w:t>E. 11</w:t>
      </w:r>
    </w:p>
    <w:p>
      <w:r>
        <w:t>avril 2011 Le dispositif de l'arrêt qui précède est communiqué par écrit aux intéressés. Le greffier : Du L'arrêt qui précède, dont la rédaction a été approuvée à huis clos, est notifié en expédition complète, par l'envoi de photocopies, à : ‑ Me Christian Favre (pour Z.________), ‑ Me Nicole Diserens (pour V.________ SA). La Chambre des recours considère que la valeur litigieuse est de 11'568 fr. pour le recours principal et de 20'400 fr. pour le recours joint.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