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166 vom 4. April 2011</w:t>
      </w:r>
    </w:p>
    <w:p>
      <w:r>
        <w:t>VD Tribunal cantonal, 2011-04-04, FR</w:t>
      </w:r>
    </w:p>
    <w:p>
      <w:r>
        <w:rPr>
          <w:b/>
        </w:rPr>
        <w:t xml:space="preserve">Quelle: </w:t>
      </w:r>
      <w:r>
        <w:t>https://mcp.opencaselaw.ch/entscheid/vd_findinfo_HC___2011___166</w:t>
      </w:r>
    </w:p>
    <w:p>
      <w:r>
        <w:t>FR: VD_FINDINFO HC / 2011 / 166 du 4 avril 2011</w:t>
      </w:r>
    </w:p>
    <w:p>
      <w:r>
        <w:t>IT: VD_FINDINFO HC / 2011 / 166 del 4 aprile 2011</w:t>
      </w:r>
    </w:p>
    <w:p>
      <w:pPr>
        <w:pStyle w:val="Heading2"/>
      </w:pPr>
      <w:r>
        <w:t>Regeste</w:t>
      </w:r>
    </w:p>
    <w:p>
      <w:r>
        <w:t>CERTIFICAT D'HÉRITIER, INTÉRÊT JURIDIQUE{PROCÉDURE CIVILE} | 248 CPC (CH)</w:t>
      </w:r>
    </w:p>
    <w:p>
      <w:pPr>
        <w:pStyle w:val="Heading2"/>
      </w:pPr>
      <w:r>
        <w:t>Erwägungen</w:t>
      </w:r>
    </w:p>
    <w:p>
      <w:r>
        <w:rPr>
          <w:b/>
        </w:rPr>
        <w:t>E. 1</w:t>
      </w:r>
    </w:p>
    <w:p>
      <w:r>
        <w:t>Le certificat d'héritier est une décision gracieuse de droit fédéral. Dès lors que le droit fédéral laisse dans ce domaine la latitude aux cantons de choisir entre une autorité administrative et un juge, les cantons restent libre de fixer la procédure (Exposé des motifs du Code de droit privé judiciaire du 12 janvier 2010 [ CDPJ ; RSV 211.01] , mai 2009 n° 187, p. 77 ad art. 108 du projet). Dans le canton de Vaud, le certificat d'héritier est régi par les art. 133 ss CDPJ. Les art. 104 à 109 CDPJ s'appliquent par renvoi de l'art. 111 CDPJ. Le CPC s'applique à titre supplétif (cf. art. 104 et 108 CDPJ). On en déduit l'application de la procédure sommaire (cf. art 248 let. e CPC). Aux termes de l'art. 109 al. 3 CDPJ, seul le recours limité au droit est recevable contre un certificat d'héritier.</w:t>
      </w:r>
    </w:p>
    <w:p>
      <w:r>
        <w:rPr>
          <w:b/>
        </w:rPr>
        <w:t>E. 2</w:t>
      </w:r>
    </w:p>
    <w:p>
      <w:r>
        <w:t>L'existence d'un intérêt du recourant est une condition de recevabilité de tout recours, cet intérêt devant être juridique et non de fait (ATF 127 III 429 c. 1b; ATF 120 II 7 c. 2a; ATF 118 II 108 c. 2c; JT 2001 III 13). Tel n'est pas le cas lorsque le recours porte uniquement sur l'indication des parts héréditaires, cette indication, facultative, n'ayant aucune portée juridique (ATF 118 II 108 c. 2b et 2c; Poudret/Wurzburger/Haldy, op. cit., n. 2.4 ad art. 489 CPC-VD, p. 716). En l'occurrence, le recourant, dont il est incontestable qu'il est héritier légal et institué, ne conteste pas sa qualité d'héritier. Il anticipe toutefois le partage de la succession en relevant qu'il a déjà touché sa part de sorte que le solde de la succession devra être réparti entre les autres héritiers. Un certificat d'héritiers est cependant sans portée juridique sur les parts successorales (ATF 118 II 108 précité). Le recourant n'a dès lors aucun intérêt juridiquement protégé à remettre en cause le certificat d'héritier. Partant, son recours est irrecevable.</w:t>
      </w:r>
    </w:p>
    <w:p>
      <w:r>
        <w:rPr>
          <w:b/>
        </w:rPr>
        <w:t>E. 3</w:t>
      </w:r>
    </w:p>
    <w:p>
      <w:r>
        <w:t>Le présent arrêt est rendu sans frais. Par ces motifs, la Chambre des recours civile du Tribunal cantonal, statuant à huis clos, prononce : I. Le recours est irrecevable. II. L'arrêt, rendu sans frais, est exécutoire. Le président :               La greffière : Du 19 avril 2011 L'arrêt qui précède, dont la rédaction a été approuvée à huis clos, est notifié à : ‑ M. A.X.________, ‑ Mme C.X.________, - Mme J.________, - Mme P.________, - Mme F.________, - Mme W.________.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