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165 vom 30. März 2011</w:t>
      </w:r>
    </w:p>
    <w:p>
      <w:r>
        <w:t>VD Tribunal cantonal, 2011-03-30, FR</w:t>
      </w:r>
    </w:p>
    <w:p>
      <w:r>
        <w:rPr>
          <w:b/>
        </w:rPr>
        <w:t xml:space="preserve">Quelle: </w:t>
      </w:r>
      <w:r>
        <w:t>https://mcp.opencaselaw.ch/entscheid/vd_findinfo_HC___2011___165</w:t>
      </w:r>
    </w:p>
    <w:p>
      <w:r>
        <w:t>FR: VD_FINDINFO HC / 2011 / 165 du 30 mars 2011</w:t>
      </w:r>
    </w:p>
    <w:p>
      <w:r>
        <w:t>IT: VD_FINDINFO HC / 2011 / 165 del 30 marzo 2011</w:t>
      </w:r>
    </w:p>
    <w:p>
      <w:pPr>
        <w:pStyle w:val="Heading2"/>
      </w:pPr>
      <w:r>
        <w:t>Regeste</w:t>
      </w:r>
    </w:p>
    <w:p>
      <w:r>
        <w:t>MESURE DE PROTECTION | 28a CC</w:t>
      </w:r>
    </w:p>
    <w:p>
      <w:pPr>
        <w:pStyle w:val="Heading2"/>
      </w:pPr>
      <w:r>
        <w:t>Erwägungen</w:t>
      </w:r>
    </w:p>
    <w:p>
      <w:r>
        <w:rPr>
          <w:b/>
        </w:rPr>
        <w:t>E. 1</w:t>
      </w:r>
    </w:p>
    <w:p>
      <w:r>
        <w:t>Les voies de droit contre un prononcé communiqué, comme en l'espèce, après le 1er janvier 2011 sont régies par le Code de procédure civile du 19 décembre 2008 ([ci-après CPC; RS 272] art. 405 al. 1 CPC).</w:t>
      </w:r>
    </w:p>
    <w:p>
      <w:r>
        <w:rPr>
          <w:b/>
        </w:rPr>
        <w:t>E. 2</w:t>
      </w:r>
    </w:p>
    <w:p>
      <w:r>
        <w:t>Le prononcé contesté (cf. art. 262 let. a CPC) a été rendu dans le cadre de mesures protectrices de l'union conjugale.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formé contre les décisions sur mesures provisionnelles et sur mesures protectrices de l'union conjugale relève de la compétence d'un juge unique (art. 84 al. 2 LOJV [loi d'organisation judiciaire du 12 décembre 1979; RSV 173.01]). Formé en temps utile par une partie qui y a intérêt et portant sur des conclusions non patrimoniales,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w:t>
      </w:r>
    </w:p>
    <w:p>
      <w:r>
        <w:rPr>
          <w:b/>
        </w:rPr>
        <w:t>E. 4</w:t>
      </w:r>
    </w:p>
    <w:p>
      <w:r>
        <w:t>Aux termes de l'art. 311 al. 1 CPC, l'appel doit être motivé. Or, le présent appel est quasiment dépourvu de motivation. La question de savoir s'il est malgré tout recevable peut toutefois rester indécise dans la mesure où il doit être de toute façon rejeté pour les motifs qui suivent.</w:t>
      </w:r>
    </w:p>
    <w:p>
      <w:r>
        <w:rPr>
          <w:b/>
        </w:rPr>
        <w:t>E. 5</w:t>
      </w:r>
    </w:p>
    <w:p>
      <w:r>
        <w:t>a) L'appelant conteste les mesures d'interdiction ordonnées par le premier juge. b) L'art. 28b al. 1 CC prévoit qu'en cas de violence, de menaces ou de harcèlement, le demandeur peut requérir du juge d'interdire à l'auteur de l'attente,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n. 17 ad. art. 28b CC, p. 281). c) En l'espèce, force est de constater avec le premier juge que H.________ doit être considéré comme agressif et potentiellement dangereux pour son épouse ou ses enfants compte tenu notamment de sa condamnation pénale du 17 novembre 2009, de l'enquête pénale en cours d'instruction concernant à nouveau des actes de violence envers son épouse et de son comportement à l'audience du 10 mars 2011. Il se justifie dès lors de protéger l'intimée et ses enfants par le biais des interdictions prévues à l'art. 28b CC. L'appel doit donc être rejeté.</w:t>
      </w:r>
    </w:p>
    <w:p>
      <w:r>
        <w:rPr>
          <w:b/>
        </w:rPr>
        <w:t>E. 6</w:t>
      </w:r>
    </w:p>
    <w:p>
      <w:r>
        <w:t>En conclusion, l'appel est rejeté et le prononcé confirmé. Compte tenu des circonstances du cas d'espèce, l'arrêt est rendu sans frais (art. 107 al. 1 let. c CPC). Par ces motifs, le juge délégué de la Cour d’appel civile du Tribunal cantonal, statuant à huis clos, en application de l'art. 312 al. 1 CPC, prononce : I. L’appel est rejeté. II. Le prononcé est confirmé. III. L'arrêt est rendu sans frais. IV. L'arrêt est exécutoire. Le juge délégué : La greffière : Du L'arrêt qui précède, dont la rédaction a été approuvée à huis clos, est notifié en expédition complète, par l'envoi de photocopies, à : ‑ M. H.________, ‑ Me Marie-Pomme Moinat (pour A.F.________).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