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164 vom 14. Februar 2011</w:t>
      </w:r>
    </w:p>
    <w:p>
      <w:r>
        <w:t>VD Tribunal cantonal, 2011-02-14, FR</w:t>
      </w:r>
    </w:p>
    <w:p>
      <w:r>
        <w:rPr>
          <w:b/>
        </w:rPr>
        <w:t xml:space="preserve">Quelle: </w:t>
      </w:r>
      <w:r>
        <w:t>https://mcp.opencaselaw.ch/entscheid/vd_findinfo_HC___2011___164</w:t>
      </w:r>
    </w:p>
    <w:p>
      <w:r>
        <w:t>FR: VD_FINDINFO HC / 2011 / 164 du 14 février 2011</w:t>
      </w:r>
    </w:p>
    <w:p>
      <w:r>
        <w:t>IT: VD_FINDINFO HC / 2011 / 164 del 14 febbraio 2011</w:t>
      </w:r>
    </w:p>
    <w:p>
      <w:pPr>
        <w:pStyle w:val="Heading2"/>
      </w:pPr>
      <w:r>
        <w:t>Regeste</w:t>
      </w:r>
    </w:p>
    <w:p>
      <w:r>
        <w:t>CESSION D'UN PATRIMOINE OU D'UNE ENTREPRISE | 333 CO, 452 al. 1ter CPC, 452 al. 2 CPC</w:t>
      </w:r>
    </w:p>
    <w:p>
      <w:pPr>
        <w:pStyle w:val="Heading2"/>
      </w:pPr>
      <w:r>
        <w:t>Erwägungen</w:t>
      </w:r>
    </w:p>
    <w:p>
      <w:r>
        <w:rPr>
          <w:b/>
        </w:rPr>
        <w:t>E. 1</w:t>
      </w:r>
    </w:p>
    <w:p>
      <w:r>
        <w:t>Depuis l'entrée en vigueur le 1 er janvier 2011 du CPC (Code de procédure civile suisse du 19 décembre 2008; RS 272), les recours sont régis par le droit en vigueur au moment de la communication de la décision aux parties (art. 405 al. 1 CPC). En l'occurrence, le jugement attaqué a été communiqué aux parties avant cette date, de sorte que ce sont les règles du CPC-VD (Code de procédure civile vaudois du 14 décembre 1966) qui sont applicables devant la Chambre des recours du canton de Vaud (art. 81a al. 2 ROTC [règlement organique du Tribunal cantonal du 13 novembre 2007; RSV 173.31.1] et art. 166 al. 2 CDPJ [Code de droit privé judiciaire vaudois du 12 janvier 2010; RSV 211.02]). L'art. 46 LJT (Loi du 17 mai 1999 sur la juridiction du travail; RSV 173.61) ouvre la voie du recours en nullité et en réforme contre les jugements rendus par un tribunal de prud'hommes, selon les art. 444, 445 et 451 CPC-VD. Le recours, uniquement en réforme, interjeté en temps utile, est ainsi recevable.</w:t>
      </w:r>
    </w:p>
    <w:p>
      <w:r>
        <w:rPr>
          <w:b/>
        </w:rPr>
        <w:t>E. 2</w:t>
      </w:r>
    </w:p>
    <w:p>
      <w:r>
        <w:t>a) Saisie d'un recours en réforme contre un jugement principal rendu par un tribunal de prud'hommes, la Chambre des recours revoit librement la cause en fait et en droit (art. 452 al. 2 CPC-VD, applicable par renvoi de l'art. 46 al. 2 LTJ). Les parties ne peuvent toutefois articuler des faits nouveaux, sous réserve de ceux qui résultent du dossier et qui auraient être dû être retenus ou de ceux pouvant résulter d'une instruction complémentaire selon l'art. 456a CPC-VD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cas échéant, corrigé ou complété au moyen de celles-ci (ibidem). b) L'état de fait du jugement est conforme aux pièces du dossier et autres preuves administrées. Il a été complété sur la base du dossier (supra, let. C).</w:t>
      </w:r>
    </w:p>
    <w:p>
      <w:r>
        <w:rPr>
          <w:b/>
        </w:rPr>
        <w:t>E. 3</w:t>
      </w:r>
    </w:p>
    <w:p>
      <w:r>
        <w:t>Le jugement attaqué retient qu'on ne sait pas exactement quel jour le transfert a eu lieu, mais qu'il est en tous les cas intervenu avant le 3 juin 2010, date du prononcé de la faillite. Selon la jurisprudence, le bénéfice de l'art. 333 CO ne peut être invoqué que par les seuls travailleurs dont la relation de travail est en cours à la date du transfert, y compris si les rapports de travail ont déjà été résiliés pour une date postérieure à ce transfert. L'acquéreur de l'entreprise n'a en revanche pas à reprendre des contrats de travail n'existant plus au moment du transfert (ATF 134 III 102 c. 3.1.1). En l'espèce, la résiliation donnée le 16 octobre 2009 par A.H.________, durant la période d'incapacité de travail du demandeur, était nulle et inopérante. Il n'y a pas eu de report à un terme ultérieur, l'employeur devant renouveler le congé donné lorsque la période de protection a pris fin en respectant les règles  légales (ATF 128 III 212 c. 3a et b). Un tel renouvellement du congé n'est pas intervenu, que ce soit de la part de A.H.________ ou de la recourante. Il en découle que le contrat de travail avec A.H.________ perdurait en tout état de cause au moment du transfert, quelle que soit la date précise de ce dernier. On peut d'ailleurs retenir que ce transfert est selon toute vraisemblance intervenu avant même la fin de l'année 2009, la recourante ayant été inscrite au registre du commerce le 30 novembre 2009 et ayant immédiatement repris les activités de A.H.________, en utilisant les mêmes locaux, le même numéro de téléphone et de fax. Ce premier argument de la recourante doit être rejeté. b) La recourante tire en outre argument de la loi fédérale sur la fusion, la scission, la transformation et le transfert de patrimoine du 3 octobre 2003 (LFus : RS 221.301), qui prévoit notamment que les sociétés et entreprises individuelles inscrites au registre du commerce peuvent transférer tout ou partie de leur patrimoine avec actifs et passifs à un autre sujet de droit privé (art. 69 al. 1) et que le contrat de transfert revêt la forme écrite (art. 70 al. 2). Dès lors, selon elle, qu'un tel contrat n'est pas passé, il n'y aurait eu ni transfert de patrimoine, ni transfert des rapports de travail. Peu importe cependant, pour l'application de l'art. 333 CO que les prescriptions de la LFus n'aient le échéant pas été respectées : il suffit, comme vu ci-dessus, qu'il y ait reprise et poursuite d'une exploitation, la situation de fait étant déterminante et l'existence d'un rapport de droit entre le repreneur et son prédécesseur ne devant pas être établie (Portmann, Basler Kommentar, 4 ème éd., n. 7 ad art. 333 CO). Ce moyen de la recourante doit en conséquence être rejeté. c) La recourante soutient encore que A.H.________ n'aurait pas été habilité à lui transférer son entreprise puisqu'il avait obtenu un sursis concordataire par abandon d'actif : il lui aurait en effet été interdit de procéder à des aliénations durant le sursis. 1. Le transfert d'une entreprise lorsque le cédant fait l'objet d'une procédure de faillite ou d'insolvabilité analogue est traité dans la Directive 2001/23/CE du Conseil de l'Union européenne, du 12 mars 2001 (ci-après : la Directive). Celle-ci est prise en considération par le Tribunal fédéral en ce qui concerne l'application de l'art. 333 CO, puisqu'elle " est le résultat de l'évolution du droit européen avec lequel une harmonisation a été souhaitée en cette matière par le législateur fédéral " (ATF 132 III 32 c. 4.1, JT 2006 I 257; Wyler, op. cit., p. 397). Selon l'art. 3 § 1 de la Directive, les droits et obligations qui résultent d'un contrat de travail existant à la date du transfert de l'entreprise passent automatiquement, sans acte particulier, à l'acquéreur ou cessionnaire de l'entreprise (Wyler, op. cit., p. 387). Tel n'est en revanche pas le cas selon l'art.</w:t>
      </w:r>
    </w:p>
    <w:p>
      <w:r>
        <w:rPr>
          <w:b/>
        </w:rPr>
        <w:t>E. 5</w:t>
      </w:r>
    </w:p>
    <w:p>
      <w:r>
        <w:t>§ 1 et 2 de la Directive lorsque le cédant fait l'objet d'une procédure de faillite ou d'une procédure d'insolvabilité analogue (ibid.). Selon la jurisprudence de la Cour de justice des Communautés européennes, rendue en application de la Directive 77/187/CEE codifiée par la Directive, les règles sur le transfert des rapports de travail trouvent application lorsque la procédure en cause comporte un contrôle du juge plus restreint qu'en cas de faillite et lorsqu'elle tend en premier lieu à la sauvegarde de la masse et, le cas échéant, à la poursuite de l'activité de l'entreprise au moyen du sursis collectif de paiement, en vue de trouver un règlement permettant d'assurer l'activité de l'entreprise à l'avenir (Wyler, op. cit., p. 388, 391 et 401). Le critère déterminant à prendre en considération est ainsi celui de l'objectif poursuivi par la procédure en cause, selon qu'elle tend à la liquidation ou à la poursuite de l'activité de l'entreprise et son redressement. En l'espèce le sursis concordataire de six mois que s'est vu accorder A.H.________ le 3 avril 2009 a été révoqué le 5 novembre 2009. L'intéressé ayant recouru à la Cour des poursuites et faillites du Tribunal cantonal le 16 novembre 2009, le président de cette autorité a accordé l'effet suspensif par décision du 24 novembre 2009. Enfin le recours a été retiré le 4 mars 2010. Il n'y a donc pas eu d'homologation au sens de l'art. 306 de la loi fédérale sur la poursuite pour dettes et la faillite du 11 avril 1889 (ci-après LP : RS 281.1) et il y a lieu de considérer que le transfert est intervenu pendant une période de sursis concordataire. A supposer d'ailleurs que  le transfert soit intervenu après la révocation, on se trouverait en dehors d'une procédure de faillite. Les effets d'une révocation du sursis ne sont en effet pas ceux d'une faillite, puisqu'il est nécessaire qu'un créancier requière celle-ci dans les 20 jours suivant la publication, pour que la faillite soit déclarée (art. 309 LP). La question de l'application de l'art. 333 CO lorsque le transfert de l'entreprise s'opère dans le cadre d'une procédure de concordat par abandon d'actifs a été laissée indécise par le Tribunal fédéral (ATF 134 III 102 c. 3.1.1). Selon Wyler (Droit du travail, 2 ème éd. p. 404), suivi par Carruzzo (Le contrat individuel de travail, p. 441), l'art. 333 CO s'applique à tout transfert d'entreprise qui intervient après l'octroi du sursis concordataire et avant l'homologation; en effet un transfert qui intervient avant l'homologation ne s'inscrit pas dans une procédure analogue à celle de celle de la faillite. De surcroît, toute interprétation contraire permettrait au débiteur de retarder artificiellement les échéances, par le seul effet du sursis concordataire, pour finalement y renoncer ou requérir une faillite, tout en transférant entre-temps certains actifs. Une telle exception ne doit pas être admise, dans la mesure où elle permettrait de vider la protection de l'art. 333 CO de sa substance. Il en résulte que, par opposition aux effets de la faillite, le droit de disposition du débiteur en cas de sursis concordataire est seulement réduit et non supprimé (Geiser, "Betriebsuebernahme der X AG durch die Y AG; Gutachten zur Frage der Anwendbarkeit von Artikel 333 Obligationenrecht", St-Gall 2001, publié in JAR 2005 p. 480), auquel se réfère Portmann (in Berner Kommentar, n. 12 ad art. 333, p. 1941). S'il est vrai que certains actes sont interdits sauf autorisation du juge du concordat (cf. art. 298 al. 2 LP), il n'en reste pas moins que les actes juridiques du débiteur sont en principe régis selon le droit civil. Ainsi, le droit de l'exécution forcée ne contenant pas de norme réglant la question en lieu et place de la règle de droit civil prévue par l'art. 333 al. 3 CO, il s'ensuit que le règlement du sursis concordataire ne contient aucune disposition qui permettrait d'exclure la responsabilité solidaire du tiers acquéreur d'une entreprise. En l'espèce donc, lorsque, le 30 novembre 2009, B.H.________, fils de A.H.________, a adressé à l'intimé une offre d'engagement dans la société recourante dès le 1 er avril, la date d'engagement pouvant être avancée en fonction du temps et du travail adjugé, rien ne s'opposait à un transfert des rapports de travail. Il est vrai qu'en vertu de l'art. 298 al. 2 LP, l'effet du sursis concordataire était d'interdire à A.H.________, sauf autorisation du juge du concordat, d'aliéner l'actif immobilisé de son entreprise pendant la durée du sursis sous peine de nullité. D'une part, cependant, cette nullité ne valait qu'à l'égard des créanciers (art. 204 al. 1 LP par renvoi de l'art. 298 al. 2 LP; Vollman, Basler Kommentar, n. 14 ad art. 298 LP), sans que cela fasse obstacle à l'application de l'art. 333 CO. D'autre part, on ignore s'il y a eu effectivement aliénation de l'actif immobilisé et on sait seulement que l'exploitation de l'entreprise de A.H.________ a été continuée par la recourante. Il faut donc admettre qu'en reprenant cette exploitation, la recourante s'est vu transférer les rapports de travail liant encore A.H.________ et l'intimé. Enfin, dans la mesure où l'entreprise a été cédée à la recourante, soit au propre fils de A.H.________, avant la faillite prononcée le 3 juin 2010, la recourante ne saurait se prévaloir après coup (venire contra factum proprium), afin d'échapper à l'application de l'art. 333 CO (cf. Wyler, op. cit., p. 404 in fine et 405), de manœuvres dilatoires de la part de A.H.________. Partant, les premiers juges ont fait en l'occurrence une application correcte de l'art. 333 CO, ce qui conduit au rejet du recours. Les autres points du jugement, en particulier les sommes allouées à l'intimé du chef de ses prétentions de salaire, n'ayant par ailleurs pas été remises en cause par la recourante, il n'y a pas lieu de les réexaminer ici. 4. En définitive, le recours doit être rejeté. La valeur litigieuse ne dépassant pas 30'000 fr., le présent arrêt est rendu sans frais (art. 343 al. 2 et 3 CO; art. 235 du tarif des frais judiciaires en matière civile du 4 décembre 1984 [TFJC; RSV 270.11.5]). Il n'est pas alloué de dépens, la partie adverse n'ayant été invitée à se déterminer. Par ces motifs, la Chambre des recours du Tribunal cantonal, statuant à huis clos, prononce : I. Le recours est rejeté. II. Le jugement est confirmé. III. L'arrêt est rendu sans frais ni dépens. IV. L'arrêt motivé est exécutoire. Le président :               Le greffier : Du 14 février 2011 Le dispositif de l'arrêt qui précède est communiqué par écrit aux intéressés. Le greffier : Du L'arrêt qui précède, dont la rédaction a été approuvée à huis clos, est notifié en expédition complète, par l'envoi de photocopies, à : ‑ Me Philippe Liechti (pour Z.________), ‑ Syndicat UNIA Section de Lausanne (pourP.________).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