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162 vom 23. März 2011</w:t>
      </w:r>
    </w:p>
    <w:p>
      <w:r>
        <w:t>VD Tribunal cantonal, 2011-03-23, FR</w:t>
      </w:r>
    </w:p>
    <w:p>
      <w:r>
        <w:rPr>
          <w:b/>
        </w:rPr>
        <w:t xml:space="preserve">Quelle: </w:t>
      </w:r>
      <w:r>
        <w:t>https://mcp.opencaselaw.ch/entscheid/vd_findinfo_HC___2011___162</w:t>
      </w:r>
    </w:p>
    <w:p>
      <w:r>
        <w:t>FR: VD_FINDINFO HC / 2011 / 162 du 23 mars 2011</w:t>
      </w:r>
    </w:p>
    <w:p>
      <w:r>
        <w:t>IT: VD_FINDINFO HC / 2011 / 162 del 23 marzo 2011</w:t>
      </w:r>
    </w:p>
    <w:p>
      <w:pPr>
        <w:pStyle w:val="Heading2"/>
      </w:pPr>
      <w:r>
        <w:t>Regeste</w:t>
      </w:r>
    </w:p>
    <w:p>
      <w:r>
        <w:t>DROIT DE GARDE, AUTORITÉ PARENTALE, PROTECTION DE L'UNION CONJUGALE | 176 al. 3 CC, 308 al. 1 let. b CPC (CH), 310 CPC (CH), 312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Il est recevable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non patrimoniales,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w:t>
      </w:r>
    </w:p>
    <w:p>
      <w:r>
        <w:rPr>
          <w:b/>
        </w:rPr>
        <w:t>E. 3</w:t>
      </w:r>
    </w:p>
    <w:p>
      <w:r>
        <w:t>Le recourant prétend en substance que le droit de visite, même élargi tel que l'a prévu le premier juge, nuirait au développement harmonieux des enfants des points de vue affectif, psychique, moral et intellectuel, ceux-là ne pouvant améliorer les relations entretenues avec leur père. Considérant cet aspect comme impératif, il conclut principalement à l'attribution de la garde en sa faveur durant la litispendance, et subsidiairement à la solution d'une garde alternée.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(Chaix, Commentaire Romand, n. 19 ad art. 176 CC; Verena Bräm, Commentaire zurichois, n. 89 et 101 ad art. 176 CC cité in ATF 5A_693/2007 du 18 février 2008).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 3 p. 354 s.; ATF 115 II 206 c. 4a p. 209; ATF 115 II 317 c. 2 p. 319; ATF 114 II 200 c. 5 p. 203 s.; ATF 112 II 381 c. 3 p. 382 s.; cf. aussi FamPra.ch 4/2008. n. 104 p. 98, TF 5A_181/2008 du 25 avril 2008; FamPra.ch 1/2006 n. 20 p. 193, TF 5C.238/2005 du 2 novembre 2005). La garde alternée suppose une volonté conjointe des parents impliquant leur accord sur le principe et les modalités de la garde. En outre, cette garde doit être compatible avec le bien des enfants (sur ce point notamment Séverine Berger, in JT 2002 I 150 ; TF 5P.345/2005 du 23 décembre 2005, c. 3.3; Chaix, op. cit., n. 19 ad art. 176 CC). En l'espèce, la garde alternée fut la première solution envisagée par le couple, pour autant que l’appelant trouve un appartement pour accueillir ses enfants, conformément à la convention de mesures protectrices d'union conjugale passée le 22 mars 2010. Toutefois, cette garde n’ayant jamais fonctionné et, depuis les vacances d’août 2010, l’appelant n’ayant plus du tout exercé un quelconque droit de visite, l'intimée s'y est opposé à l'audience tenue devant le premier juge, le 12 janvier 2011. De plus, l’appelant ne la conçoit qu’à titre subsidiaire. Dès lors, au vu des tensions entre époux et du désaccord de la mère, une garde alternée n’entre pas en ligne de compte. Elle ne pourrait être que préjudiciable à l’intérêt des enfants, qui ont besoin de stabilité, ainsi que d’être soustraits autant que possible du conflit conjugal. Pour ce qui concerne l'attribution des enfants à l'un ou l'autre des parents, il convient de relever que les enfants du couple sont de jeunes enfants âgés de 7 et 4 ans. Ils ont besoin de soins particuliers et d’une présence constante et régulière d’un adulte. L'intimée recherchait un emploi à 50%, et a trouvé une activité professionnelle temporaire en qualité d'éducatrice auxiliaire pour quatre mois depuis le 31 janvier 2011. L'intimée n’entend pas, vu les circonstances, dépasser un taux d’activité de 50%. Cette disponibilité, l’appelant ne peut l’offrir compte tenu de son travail, qu’il a certes réduit, mais qui l’occupe à 80%. La disponibilité de la mère est meilleure que celle du père. L’intimée n’a jamais démérité dans son rôle de mère, ce qu'a tenté d'infirmer l'appelant en produisant, à l'appui de son appel, un courrier du 18 mars 2010 écrit par le juriste de la Direction de la sécurité publique et des sports. Cependant, aucun élément pertinent, pour l'attribution des enfants, ne ressort de cette pièce. L'intimée assume seule l’éducation des enfants, dès lors que l’époux a désinvesti son rôle de père durant plusieurs mois, n'ayant pu avoir les enfants auprès de lui comme il le souhaitait. Les capacités éducatives de la mère sont dès lors à son avantage. De plus, les enfants ont toujours vécu avec leur mère depuis la séparation. Il serait par conséquent préjudiciable à leur intérêt de confier la garde à l'appelant, qui ne leur a guère consacré de temps, si ce n'est de façon irrégulière. Certes, les relations entre le père et les enfants reprennent actuellement, mais ce fait ne peut combler les carences avérées du père des derniers mois, comme l’a justement retenu le premier juge. En conclusion, le juge de céans constate que le premier juge a, à juste titre, confié la garde des enfants mineurs à l'intimée et prévu un droit de visite usuel et élargi à l’appelant. Le montant de la pension n'est pas contesté et peut être confirmé.</w:t>
      </w:r>
    </w:p>
    <w:p>
      <w:r>
        <w:rPr>
          <w:b/>
        </w:rPr>
        <w:t>E. 4</w:t>
      </w:r>
    </w:p>
    <w:p>
      <w:r>
        <w:t>Au vu de ce qui précède, l'appel doit être rejeté dans la procédure de l'art. 312 al. 1 CPC, et l'ordonnance confirmée.</w:t>
      </w:r>
    </w:p>
    <w:p>
      <w:r>
        <w:rPr>
          <w:b/>
        </w:rPr>
        <w:t>E. 5</w:t>
      </w:r>
    </w:p>
    <w:p>
      <w:r>
        <w:t>Quant au courrier de l'intimée du 21 février 2011, il peut être qualifié d'appel au sens de l'art. 308 al. 1 let. b CPC. Il s'avère toutefois manifestement mal fondé. L'intimée invoque en effet comme motifs le fait que l'appelant ne respecte pas les modalités du droit de visite fixées par le premier juge. Or, ces griefs ne sont pas de la compétence du juge de céans. Elle avance également des faits, qui ne se sont pas encore réalisés. Ces griefs ne pouvant être reçus comme novas, ils sont dès lors irrecevables. Au vu des circonstances, le juge de céans statue sans frais sur l'appel de l'intimée et modifie en conséquence le chiffre I du dispositif de l'arrêt rendu le 23 mars 2011, en ce sens que l'appel de T.________ et l'appel de W.________ sont rejetés.</w:t>
      </w:r>
    </w:p>
    <w:p>
      <w:r>
        <w:rPr>
          <w:b/>
        </w:rPr>
        <w:t>E. 6</w:t>
      </w:r>
    </w:p>
    <w:p>
      <w:r>
        <w:t>Les frais judiciaires de deuxième instance sont arrêtés à 600 fr. (art. 65 al. 2 TFJC, tarif des frais judiciaires civils du 28 septembre 2010; RSV 270.11.5). Par ces motifs, le juge délégué de la Cour d’appel civile du Tribunal cantonal, statuant à huis clos, en application de l'art. 312 al. 1 CPC, prononce : I. L’appel de T.________ et l'appel de W.________ sont rejetés. II. Le prononcé est confirmé. III. Les frais judiciaires de deuxième instance, arrêtés à 600 fr. (six cents francs) sont mis à la charge de l'appelant T.________. IV. L'arrêt motivé est exécutoire. Le juge délégué : La greffière : Du 24 mars 2011 Le dispositif de l'arrêt qui précède est communiqué par écrit aux intéressés. La greffière : Du L'arrêt qui précède, dont la rédaction a été approuvée à huis clos, est notifié en expédition complète, par l'envoi de photocopies, à : ‑ M. T.________, ‑ Mme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