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154 vom 23. Februar 2011</w:t>
      </w:r>
    </w:p>
    <w:p>
      <w:r>
        <w:t>VD Tribunal cantonal, 2011-02-23, FR</w:t>
      </w:r>
    </w:p>
    <w:p>
      <w:r>
        <w:rPr>
          <w:b/>
        </w:rPr>
        <w:t xml:space="preserve">Quelle: </w:t>
      </w:r>
      <w:r>
        <w:t>https://mcp.opencaselaw.ch/entscheid/vd_findinfo_HC___2011___154</w:t>
      </w:r>
    </w:p>
    <w:p>
      <w:r>
        <w:t>FR: VD_FINDINFO HC / 2011 / 154 du 23 février 2011</w:t>
      </w:r>
    </w:p>
    <w:p>
      <w:r>
        <w:t>IT: VD_FINDINFO HC / 2011 / 154 del 23 febbraio 2011</w:t>
      </w:r>
    </w:p>
    <w:p>
      <w:pPr>
        <w:pStyle w:val="Heading2"/>
      </w:pPr>
      <w:r>
        <w:t>Regeste</w:t>
      </w:r>
    </w:p>
    <w:p>
      <w:r>
        <w:t>DÉPENS, EXÉCUTION FORCÉE | 121 al. 2 CC, 143 CO, 146 CO, 488 let. f CPC, 518 CPC, 94 al. 1 CPC, 94 al. 4 CPC, 21 al. 1 LPEBL, 405 al. 1 CPC (CH)</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la décision attaquée a été adressée pour notification aux parties le 19 novembre 2010. Sont donc applicables les dispositions en vigueur à cette date, en particulier celles contenues dans la LPEBL (loi du 18 mai 1955 sur la procédure d'expulsion en matière de baux à loyer et à ferme; RSV 221.305) et dans le CPC-VD (Code de procédure civile du canton de Vaud du 14 décembre 1966; RSV 270.11). b) Au terme de l'exécution forcée de l'ordonnance d'expulsion, le juge arrête les dépens à la charge de la partie contre laquelle l'exécution a été opérée (art. 518 CPC-VD), qui comprennent les frais d'exécution forcée. Le prononcé sur frais et dépens est une décision accessoire de l'avis d'expulsion forcée prévu à l'art. 21 al. 1 LPEBL. A ce titre, il peut, en vertu du renvoi de l'art. 488 let. f CPC-VD, faire l'objet du recours prévu à l'art. 94 al. 1 CPC-VD (JT 1985 III 62; Guignard, Procédures spéciales vaudoises, Lausanne 2008, n. 3 ad art. 22 LPEBL, p. 208). L'art. 94 al. 1 CPC-VD ouvre la voie du recours au Tribunal cantonal contre la décision relative à l'adjudication des dépens, pour autant que la décision sur le fond soit elle-même susceptible d'un recours autre qu'en nullité (Poudret/ Haldy/Tappy, Procédure civile vaudoise,</w:t>
      </w:r>
    </w:p>
    <w:p>
      <w:r>
        <w:rPr>
          <w:b/>
        </w:rPr>
        <w:t>E. 3</w:t>
      </w:r>
    </w:p>
    <w:p>
      <w:r>
        <w:t>Cela étant, le recours doit être admis et le prononcé attaqué réformé en ce sens que les dépens sont uniquement mis à la charge de B.K.________. Les frais de deuxième instance de la recourante sont arrêtés à 150 francs (art. 230 al. 1 TFJC [tarif du 4 décembre 1984 des frais judiciaires en matière civile; RSV 270.11.5]). Obtenant gain de cause, la recourante a droit au remboursement de ses frais de deuxième instance à titre de dépens (art. 91 let. a et 92 al. 1 CPC-VD). Par ces motifs, la Chambre des recours du Tribunal cantonal, statuant à huis clos, prononce : I. Le recours est admis. II. Le prononcé est réformé au chiffre II de son dispositif comme il suit : II.              dit que B.K.________ versera à la partie bailleresse la somme de 705 fr. (sept cent cinq francs) à titre de dépens, à savoir : - 455 fr. (quatre cent cinquante-cinq francs) en remboursement de ses frais de justice et d'exécution forcée; - 250 fr. (deux cent cinquante francs) à titre de participation aux honoraires de son mandataire. III. Les frais de deuxième instance de la recourante sont arrêtés à 150 francs (cent cinquante francs). IV. L'intimée Z.________ SA doit verser à la recourante A.K.________ la somme de 150 fr. (cent cinquante francs) à titre de dépens de deuxième instance. V. L'arrêt motivé est exécutoire. Le président :               Le greffier : Du 23 février 2011 Le dispositif de l'arrêt qui précède est communiqué par écrit aux intéressés. Le greffier : Du L'arrêt qui précède, dont la rédaction a été approuvée à huis clos, est notifié à : ‑ A.K.________, ‑ Thierry Zumbach (pour Z.________ SA), - B.K.________. La Chambre des recours considère que la valeur litigieuse est de 705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