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151 vom 13. Januar 2011</w:t>
      </w:r>
    </w:p>
    <w:p>
      <w:r>
        <w:t>VD Tribunal cantonal, 2011-01-13, FR</w:t>
      </w:r>
    </w:p>
    <w:p>
      <w:r>
        <w:rPr>
          <w:b/>
        </w:rPr>
        <w:t xml:space="preserve">Quelle: </w:t>
      </w:r>
      <w:r>
        <w:t>https://mcp.opencaselaw.ch/entscheid/vd_findinfo_HC___2011___151</w:t>
      </w:r>
    </w:p>
    <w:p>
      <w:r>
        <w:t>FR: VD_FINDINFO HC / 2011 / 151 du 13 janvier 2011</w:t>
      </w:r>
    </w:p>
    <w:p>
      <w:r>
        <w:t>IT: VD_FINDINFO HC / 2011 / 151 del 13 gennaio 2011</w:t>
      </w:r>
    </w:p>
    <w:p>
      <w:pPr>
        <w:pStyle w:val="Heading2"/>
      </w:pPr>
      <w:r>
        <w:t>Regeste</w:t>
      </w:r>
    </w:p>
    <w:p>
      <w:r>
        <w:t>OBLIGATION D'ENTRETIEN, ENFANT, RENTE POUR ENFANT, CONVENTION SUR LES EFFETS ACCESSOIRES DU DIVORCE, DIVORCE, EFFETS ACCESSOIRES DU DIVORCE, SUPPRESSION{EN GÉNÉRAL}, MAJORITÉ{ÂGE}, ÉTUDES UNIVERSITAIRES | 277 al. 2 CC, 277 CC, 286 al. 2 CC, 286 CC</w:t>
      </w:r>
    </w:p>
    <w:p>
      <w:pPr>
        <w:pStyle w:val="Heading2"/>
      </w:pPr>
      <w:r>
        <w:t>Erwägungen</w:t>
      </w:r>
    </w:p>
    <w:p>
      <w:r>
        <w:rPr>
          <w:b/>
        </w:rPr>
        <w:t>E. 1</w:t>
      </w:r>
    </w:p>
    <w:p>
      <w:r>
        <w:t>Les art. 444, 445 et 451 ch. 3 CPC-VD (Code de procédure civile vaudois du 14 décembre 1966, RSV 270.11, applicable au présent litige en vertu de l’art. 405 al. 1 CPC [Code de procédure civile suisse du 19 décembre 2008, RS 272])  ouvrent la voie des recours en nullité et en réforme contre les jugements principaux rendus par un président de tribunal d'arrondissement. Interjeté en temps utile, le recours en réforme est recevable. En revanche, comme le Tribunal cantonal n’entre en matière que sur les moyens de nullité invoqués (Poudret/Haldy/Tappy, Procédure civile vaudoise, 3 ème éd., Lausanne 2002,  n. 2 ad art. 465 CPC-VD et n. 2 ad art. 470 CPC-VD) et que le recourant ne soulève aucun moyen de cette nature dans son mémoire, les conclusions subsidiaires en nullité sont irrecevables.</w:t>
      </w:r>
    </w:p>
    <w:p>
      <w:r>
        <w:rPr>
          <w:b/>
        </w:rPr>
        <w:t>E. 2</w:t>
      </w:r>
    </w:p>
    <w:p>
      <w:r>
        <w:t>a)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En matière de contribution d'entretien pour un enfant majeur (art. 277 al. 2 CC [Code civil suisse du 10 décembre 1907, RS 210]), la Chambre des recours a considéré que la maxime inquisitoire imposée par l'art. 280 al. 2 CC ne l'obligeait pas à s'écarter des limites posées par les art. 452 al. 1 ter et 456a CPC-VD, cette contribution ne nécessitant pas le même besoin de protection que celle due à l'enfant mineur (JT 2006 III 3 c. 1d). b) En l’espèce, l'état de fait du jugement est conforme aux pièces du dossier et aux autres preuves administrées. Il y a cependant lieu de le compléter comme il suit : - Selon une attestation établie le 30 mai 2008 par l’Université d’Irvine, en Californie, l’intimé était inscrit en qualité d’étudiant à plein temps pour la période allant de l’automne 2006 à l’hiver 2008 (cf. pièce 13). - Sur un site internet présentant des « profils » de personnalité, l’intimé indiquait en date du 20 octobre 2009 qu’il était étudiant et avait travaillé au service des sociétés [...], [...] et [...] (cf. pièce 21) ; - Par ordonnance sur preuves du 21 janvier 2010, le président en charge du dossier a ordonné la production par l’intimé notamment des pièces 53 (« tout document montrant que le défendeur C.X.________ suit diligemment les cours à l’université Irvine, qu’il passe les examens auprès de cette université dans des délais normaux ») et 54 (« tout document montrant le cursus normal d’études d’économie suivi par le défendeur »). - L’intimé n’a pas produit de tels documents dans le délai qui lui a été imparti à cet effet. S’il était présent à l’audience de jugement du 17 juin 2010, il n’a alors pas produit de pièces (cf. procès-verbal).</w:t>
      </w:r>
    </w:p>
    <w:p>
      <w:r>
        <w:rPr>
          <w:b/>
        </w:rPr>
        <w:t>E. 3</w:t>
      </w:r>
    </w:p>
    <w:p>
      <w:r>
        <w:t>Le recourant requiert la suppression de la contribution d’entretien en faveur de son fils mise à sa charge par jugement de divorce. a)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 elle présuppose toutefois une modification importante, durable et non prévisible au moment du divorce. La procédure de modification n'a pas pour but de corriger le premier jugement, mais de l'adapter aux circonstances nouvelles (ATF 131 III 189 c. 2.7.4 ; ATF 120 II 177 c. 3a, 285 c. 4b). La dégradation des facultés du débiteur peut résulter de la diminution de ses ressources ou de l'augmentation de ses charges du fait, par exemple, de son remariage et/ou de la naissance d'autres enfants (TF 5A_769/2009 du 5 mai 2010 c. 2.1.2 et les références citées). b) Le recourant soutient que l’intimé ne remplit pas les conditions fixées par l’art. 277 al. 2 CC pour bénéficier d’une contribution d’entretien après sa majorité. Aux termes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 que l'enfant doit s'y consacrer avec zèle ou, en tout cas, avec bonne volonté, sans toutefois devoir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 3b et les arrêts cités ; TF 5A_563/2008 du 4 décembre 2008 c. 4.1 et les arrêts cités). c) L’intimé est âgé de vingt-deux ans et vit avec sa mère aux Etats-Unis. Selon l’attestation établie le 30 mai 2008 par l’Université d’Irvine, en Californie, il était inscrit en tant qu’étudiant à plein temps entre l’automne 2006 et l’hiver 2008. Il a en outre indiqué sur un site internet en date du 20 octobre 2009 qu’il était étudiant et avait travaillé au service de trois sociétés différentes. Par ordonnance sur preuves du 21 janvier 2010, le président en charge du dossier a ordonné la production par l’intimé de tout document permettant d’établir qu’il poursuivait diligemment ses études (cf. supra, c. 2b). Ce dernier n’a toutefois pas produit de tels documents dans le délai imparti, pas plus qu’à l’audience de jugement du 17 juin 2001 (cf. supra, c. 2b). Il ne les a pas non plus produits dans le cadre du recours, en réponse aux griefs du recourant. Ainsi, rien n’établit que l’intimé, depuis la fin de l’hiver 2008, qui correspondait à l’échéance d’une inscription dans une université américaine, a poursuivi ses études. En ne donnant pas suite à l’ordre de produire les pièces 53 et 54 au sujet de sa formation, il a empêché que des faits soient établis justifiant l’application de l’art. 277 al. 2 CC. Le premier juge ne pouvait dès lors pas se contenter de constater qu’aucun élément ne permettait « de nier la réalisation des conditions requises par la jurisprudence et la doctrine […] (délais normaux, bonne volonté, etc.) », puisque précisément, dans le cadre de son instruction, c’est à l’intimé qu’il avait demandé d’apporter des preuves au sujet de la continuation de sa formation. A défaut pour ce dernier d’avoir démontré qu’il se trouvait en formation, il y a lieu de considérer que les conditions pour une contribution d’entretien étaient réunies jusqu’à fin 2008, mais que celle-ci doit être supprimée dès le début de l’année 2009. Bien fondée, l’action en modification du jugement de divorce doit donc être admise. d) Il y a encore lieu de relever ce qui suit au sujet du revenu hypothétique mensuel de 8'400 fr. que le premier juge a imputé au recourant. La contribution envers l'enfant majeur n'est due que « dans la mesure où les circonstances permettent de l'exiger d'eux ».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w:t>
      </w:r>
    </w:p>
    <w:p>
      <w:r>
        <w:rPr>
          <w:b/>
        </w:rPr>
        <w:t>E. 4</w:t>
      </w:r>
    </w:p>
    <w:p>
      <w:r>
        <w:t>Au vu de ce qui précède, le recours doit être admis et le jugement attaqué réformé en ce sens que l’obligation d’entretien est supprimée dès le 1 er janvier 2009. Les frais de deuxième instance du recourant sont arrêtés à 800 fr. (art. 233 al. 2 TFJC [tarif du 4 décembre 1984 des frais judiciaires en matière civile, RSV 270.11.5]). L'intimé doit verser au recourant la somme de 2'000 fr. à titre de dépens de deuxième instance (art. 91 et 92 CPC-VD). Par ces motifs, la Chambre des recours du Tribunal cantonal, statuant à huis clos, prononce : I. Le recours est admis. II. Le jugement est réformé comme il suit : I. admet la demande formée par A.X.________ le 28 septembre 2008. II. supprime dès le 1 er janvier 2009 le chiffre III de la convention sur les effets accessoires signée le 26 février 2003 et ratifiée par le Président pour faire partie intégrante du jugement de divorce du 6 mai 2003. III. fixe les frais de justice à 1'000 fr. (mille francs) pour le demandeur et à 1'000 fr. (mille francs) pour le défendeur. IV. dit que C.X.________ doit payer à A.X.________ la somme de 2'000 fr. (deux mille francs) à titre de dépens. III. Les frais de deuxième instance du recourant sont arrêtés à 800 fr. (huit cents francs). IV. L'intimé C.X.________ doit verser au recourant A.X.________ la somme de 2'000 fr. (deux mille francs) à titre de dépens de deuxième instance. V. L'arrêt motivé est exécutoire. Le président :               La greffière : Du 13 janvier 2011 Le dispositif de l'arrêt qui précède est communiqué par écrit aux intéressés. La greffière : Du L'arrêt qui précède, dont la rédaction a été approuvée à huis clos, est notifié en expédition complète, par l'envoi de photocopies, à : ‑ Me Diego Bischof (pour A.X.________), ‑ Me Philippe-Edouard Journot (pour C.X.________).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